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PRIVACY NOTICE</w:t>
      </w:r>
    </w:p>
    <w:p>
      <w:pPr>
        <w:spacing w:after="260"/>
        <w:jc w:val="center"/>
      </w:pPr>
      <w:r>
        <w:rPr>
          <w:rFonts w:ascii="Calibri" w:cs="Calibri" w:eastAsia="Calibri" w:hAnsi="Calibri"/>
          <w:i/>
          <w:iCs/>
          <w:color w:val="6E7480"/>
          <w:sz w:val="19"/>
          <w:szCs w:val="19"/>
        </w:rPr>
        <w:t xml:space="preserve">How we handle your personal data</w:t>
      </w:r>
    </w:p>
    <w:p>
      <w:pPr>
        <w:spacing w:after="180" w:before="0" w:line="276"/>
        <w:jc w:val="both"/>
      </w:pPr>
      <w:r>
        <w:rPr>
          <w:rFonts w:ascii="Calibri" w:cs="Calibri" w:eastAsia="Calibri" w:hAnsi="Calibri"/>
          <w:i/>
          <w:iCs/>
          <w:color w:val="6E7480"/>
          <w:sz w:val="21"/>
          <w:szCs w:val="21"/>
        </w:rPr>
        <w:t xml:space="preserve">This is the document most often missing from an otherwise complete data protection set. A UAE employer holds passport and visa copies, Emirates ID, </w:t>
      </w:r>
      <w:r>
        <w:rPr>
          <w:rFonts w:ascii="Calibri" w:cs="Calibri" w:eastAsia="Calibri" w:hAnsi="Calibri"/>
          <w:b/>
          <w:bCs/>
          <w:i/>
          <w:iCs/>
          <w:color w:val="6E7480"/>
          <w:sz w:val="21"/>
          <w:szCs w:val="21"/>
        </w:rPr>
        <w:t xml:space="preserve">medical fitness results</w:t>
      </w:r>
      <w:r>
        <w:rPr>
          <w:rFonts w:ascii="Calibri" w:cs="Calibri" w:eastAsia="Calibri" w:hAnsi="Calibri"/>
          <w:i/>
          <w:iCs/>
          <w:color w:val="6E7480"/>
          <w:sz w:val="21"/>
          <w:szCs w:val="21"/>
        </w:rPr>
        <w:t xml:space="preserve">, health insurance data, bank details and WPS records — much of it sensitive — and employees are rarely told any of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Applicable regime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[UAE Data Office / DIFC Commissioner / ADGM Office of Data Protection]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Contact for questions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not appointed]</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at onboarding and on material change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Languages available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[LIST]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spacing w:after="150" w:before="0" w:line="276"/>
        <w:jc w:val="both"/>
      </w:pPr>
      <w:r>
        <w:rPr>
          <w:rFonts w:ascii="Calibri" w:cs="Calibri" w:eastAsia="Calibri" w:hAnsi="Calibri"/>
          <w:sz w:val="21"/>
          <w:szCs w:val="21"/>
        </w:rPr>
        <w:t xml:space="preserve">This notice explains what personal information we hold about you, why we hold it, who we share it with and what rights you have. It is not part of your contract, and we will update it if what we do changes.</w:t>
      </w:r>
    </w:p>
    <w:p>
      <w:pPr>
        <w:keepNext/>
        <w:spacing w:after="120" w:before="280"/>
        <w:outlineLvl w:val="0"/>
      </w:pPr>
      <w:r>
        <w:rPr>
          <w:rFonts w:ascii="Calibri" w:cs="Calibri" w:eastAsia="Calibri" w:hAnsi="Calibri"/>
          <w:b/>
          <w:bCs/>
          <w:color w:val="14161B"/>
          <w:sz w:val="22"/>
          <w:szCs w:val="22"/>
        </w:rPr>
        <w:t xml:space="preserve">1. WHAT WE HOLD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5590"/>
        <w:gridCol w:w="154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Category</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Examples</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Sensitive?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Identity and contact</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date of birth, nationality, address, phone, personal email, emergency contact</w:t>
            </w:r>
          </w:p>
        </w:tc>
        <w:tc>
          <w:tcPr>
            <w:tcW w:type="dxa" w:w="1543"/>
            <w:tcMar>
              <w:top w:type="dxa" w:w="70"/>
              <w:left w:type="dxa" w:w="100"/>
              <w:bottom w:type="dxa" w:w="70"/>
              <w:right w:type="dxa" w:w="100"/>
            </w:tcMar>
            <w:vAlign w:val="center"/>
          </w:tcPr>
          <w:p>
            <w:pPr>
              <w:spacing w:after="0" w:line="240"/>
              <w:jc w:val="left"/>
            </w:pP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Immigration and identity documents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Passport copy, visa, Emirates ID, work permit, labour card</w:t>
            </w:r>
          </w:p>
        </w:tc>
        <w:tc>
          <w:tcPr>
            <w:tcW w:type="dxa" w:w="1543"/>
            <w:tcMar>
              <w:top w:type="dxa" w:w="70"/>
              <w:left w:type="dxa" w:w="100"/>
              <w:bottom w:type="dxa" w:w="70"/>
              <w:right w:type="dxa" w:w="100"/>
            </w:tcMar>
            <w:vAlign w:val="center"/>
          </w:tcPr>
          <w:p>
            <w:pPr>
              <w:spacing w:after="0" w:line="240"/>
              <w:jc w:val="left"/>
            </w:pP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Employment record</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job title, salary, appraisals, warnings, leave, attendance</w:t>
            </w:r>
          </w:p>
        </w:tc>
        <w:tc>
          <w:tcPr>
            <w:tcW w:type="dxa" w:w="1543"/>
            <w:tcMar>
              <w:top w:type="dxa" w:w="70"/>
              <w:left w:type="dxa" w:w="100"/>
              <w:bottom w:type="dxa" w:w="70"/>
              <w:right w:type="dxa" w:w="100"/>
            </w:tcMar>
            <w:vAlign w:val="center"/>
          </w:tcPr>
          <w:p>
            <w:pPr>
              <w:spacing w:after="0" w:line="240"/>
              <w:jc w:val="left"/>
            </w:pP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Payroll and financial</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details, WPS records, gratuity accrual, </w:t>
            </w:r>
            <w:r>
              <w:rPr>
                <w:rFonts w:ascii="Calibri" w:cs="Calibri" w:eastAsia="Calibri" w:hAnsi="Calibri"/>
                <w:b/>
                <w:bCs/>
                <w:sz w:val="17"/>
                <w:szCs w:val="17"/>
              </w:rPr>
              <w:t xml:space="preserve">[GPSSA where applicable]</w:t>
            </w:r>
          </w:p>
        </w:tc>
        <w:tc>
          <w:tcPr>
            <w:tcW w:type="dxa" w:w="1543"/>
            <w:tcMar>
              <w:top w:type="dxa" w:w="70"/>
              <w:left w:type="dxa" w:w="100"/>
              <w:bottom w:type="dxa" w:w="70"/>
              <w:right w:type="dxa" w:w="100"/>
            </w:tcMar>
            <w:vAlign w:val="center"/>
          </w:tcPr>
          <w:p>
            <w:pPr>
              <w:spacing w:after="0" w:line="240"/>
              <w:jc w:val="left"/>
            </w:pP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Health</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Medical fitness test results, health insurance enrolment and claims, sick leave certificates, workplace injury records</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Family</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Dependants where sponsored or insured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[Some]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Systems and access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Login records, device assignment, building access</w:t>
            </w:r>
          </w:p>
        </w:tc>
        <w:tc>
          <w:tcPr>
            <w:tcW w:type="dxa" w:w="1543"/>
            <w:tcMar>
              <w:top w:type="dxa" w:w="70"/>
              <w:left w:type="dxa" w:w="100"/>
              <w:bottom w:type="dxa" w:w="70"/>
              <w:right w:type="dxa" w:w="100"/>
            </w:tcMar>
            <w:vAlign w:val="center"/>
          </w:tcPr>
          <w:p>
            <w:pPr>
              <w:spacing w:after="0" w:line="240"/>
              <w:jc w:val="left"/>
            </w:pP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[CCTV]</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Images at the premises</w:t>
            </w:r>
          </w:p>
        </w:tc>
        <w:tc>
          <w:tcPr>
            <w:tcW w:type="dxa" w:w="1543"/>
            <w:tcMar>
              <w:top w:type="dxa" w:w="70"/>
              <w:left w:type="dxa" w:w="100"/>
              <w:bottom w:type="dxa" w:w="70"/>
              <w:right w:type="dxa" w:w="100"/>
            </w:tcMar>
            <w:vAlign w:val="center"/>
          </w:tcPr>
          <w:p>
            <w:pPr>
              <w:spacing w:after="0" w:line="240"/>
              <w:jc w:val="left"/>
            </w:pP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[Background checks]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Qualifications, references, </w:t>
            </w:r>
            <w:r>
              <w:rPr>
                <w:rFonts w:ascii="Calibri" w:cs="Calibri" w:eastAsia="Calibri" w:hAnsi="Calibri"/>
                <w:b/>
                <w:bCs/>
                <w:sz w:val="17"/>
                <w:szCs w:val="17"/>
              </w:rPr>
              <w:t xml:space="preserve">[criminal record where lawfully required]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[Some]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Employers frequently believe they hold no sensitive data. Medical fitness testing is mandatory for a residence visa, health insurance is mandatory, and both generate health data about every employee.</w:t>
      </w:r>
    </w:p>
    <w:p>
      <w:pPr>
        <w:keepNext/>
        <w:spacing w:after="120" w:before="280"/>
        <w:outlineLvl w:val="0"/>
      </w:pPr>
      <w:r>
        <w:rPr>
          <w:rFonts w:ascii="Calibri" w:cs="Calibri" w:eastAsia="Calibri" w:hAnsi="Calibri"/>
          <w:b/>
          <w:bCs/>
          <w:color w:val="14161B"/>
          <w:sz w:val="22"/>
          <w:szCs w:val="22"/>
        </w:rPr>
        <w:t xml:space="preserve">2. WHY WE HOLD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4048"/>
      </w:tblGrid>
      <w:tr>
        <w:trPr>
          <w:cantSplit/>
          <w:tblHeader/>
        </w:trPr>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w:t>
            </w:r>
          </w:p>
        </w:tc>
        <w:tc>
          <w:tcPr>
            <w:tcW w:type="dxa" w:w="40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employ you and perform your contract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 obtain and maintain your work permit and residence visa</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 and contract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 pay you through WPS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provide health insurance</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calculate and pay end-of-service entitlements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 and contract</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 make GPSSA contributions]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manage performance, conduct and grievances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[Contract / legitimate interests where available]</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meet Emiratisation and labour reporting requirements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keep the workplace safe and report injuries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secure our systems and premises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[Legitimate interests where available]</w:t>
            </w:r>
          </w:p>
        </w:tc>
      </w:tr>
      <w:tr>
        <w:trPr>
          <w:cantSplit/>
        </w:trP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respond to a regulator, court or authority</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obligation</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Legitimate interests is available under the DIFC and ADGM regimes; the federal regime leans more heavily on consent and other bases. Use the bases the applicable regime actually provides rather than copying a notice from another jurisdiction.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We do not rely on your consent for anything we need to do to employ you.</w:t>
      </w:r>
      <w:r>
        <w:rPr>
          <w:rFonts w:ascii="Calibri" w:cs="Calibri" w:eastAsia="Calibri" w:hAnsi="Calibri"/>
          <w:sz w:val="21"/>
          <w:szCs w:val="21"/>
        </w:rPr>
        <w:t xml:space="preserve"> Consent given by an employee to their employer is rarely freely given, and we do not treat it as the basis for core processing.</w:t>
      </w:r>
    </w:p>
    <w:p>
      <w:pPr>
        <w:keepNext/>
        <w:spacing w:after="120" w:before="280"/>
        <w:outlineLvl w:val="0"/>
      </w:pPr>
      <w:r>
        <w:rPr>
          <w:rFonts w:ascii="Calibri" w:cs="Calibri" w:eastAsia="Calibri" w:hAnsi="Calibri"/>
          <w:b/>
          <w:bCs/>
          <w:color w:val="14161B"/>
          <w:sz w:val="22"/>
          <w:szCs w:val="22"/>
        </w:rPr>
        <w:t xml:space="preserve">3. WHO WE SHARE IT WITH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Recipient</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and why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Government authorities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or the zone authority, immigration, and others — permits, visas, labour records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Banks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 salary transfers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insurer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Enrolment and claims — including health data</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Medical testing centres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Visa medical fitness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[GPSSA]</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Emirati employees’ pension contributions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[End-of-service scheme administrator]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or ADGM contributions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or HR service providers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 written processing agreements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 and cloud providers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 written processing agreements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Professional advisers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necessary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[Group companies]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 group HR administration]</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purchaser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 connection with a sale of the business</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We do not sell your personal data or use it for purposes unconnected with your employment.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WHERE IT GOES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Some of our providers are outside </w:t>
      </w:r>
      <w:r>
        <w:rPr>
          <w:rFonts w:ascii="Calibri" w:cs="Calibri" w:eastAsia="Calibri" w:hAnsi="Calibri"/>
          <w:b/>
          <w:bCs/>
          <w:sz w:val="21"/>
          <w:szCs w:val="21"/>
        </w:rPr>
        <w:t xml:space="preserve">[the UAE / DIFC / ADGM]</w:t>
      </w:r>
      <w:r>
        <w:rPr>
          <w:rFonts w:ascii="Calibri" w:cs="Calibri" w:eastAsia="Calibri" w:hAnsi="Calibri"/>
          <w:sz w:val="21"/>
          <w:szCs w:val="21"/>
        </w:rPr>
        <w:t xml:space="preserve">, in </w:t>
      </w:r>
      <w:r>
        <w:rPr>
          <w:rFonts w:ascii="Calibri" w:cs="Calibri" w:eastAsia="Calibri" w:hAnsi="Calibri"/>
          <w:b/>
          <w:bCs/>
          <w:sz w:val="21"/>
          <w:szCs w:val="21"/>
        </w:rPr>
        <w:t xml:space="preserve">[COUNTRIES]</w:t>
      </w:r>
      <w:r>
        <w:rPr>
          <w:rFonts w:ascii="Calibri" w:cs="Calibri" w:eastAsia="Calibri" w:hAnsi="Calibri"/>
          <w:sz w:val="21"/>
          <w:szCs w:val="21"/>
        </w:rPr>
        <w:t xml:space="preserve">. Where we transfer your data out we rely on an adequacy finding, contractual safeguards, or another permitted ground.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[Where the employer is in DIFC or ADGM]</w:t>
      </w:r>
      <w:r>
        <w:rPr>
          <w:rFonts w:ascii="Calibri" w:cs="Calibri" w:eastAsia="Calibri" w:hAnsi="Calibri"/>
          <w:sz w:val="21"/>
          <w:szCs w:val="21"/>
        </w:rPr>
        <w:t xml:space="preserve"> </w:t>
      </w:r>
      <w:r>
        <w:rPr>
          <w:rFonts w:ascii="Calibri" w:cs="Calibri" w:eastAsia="Calibri" w:hAnsi="Calibri"/>
          <w:b/>
          <w:bCs/>
          <w:sz w:val="21"/>
          <w:szCs w:val="21"/>
        </w:rPr>
        <w:t xml:space="preserve">A transfer to a UAE mainland provider is a transfer out of this jurisdiction</w:t>
      </w:r>
      <w:r>
        <w:rPr>
          <w:rFonts w:ascii="Calibri" w:cs="Calibri" w:eastAsia="Calibri" w:hAnsi="Calibri"/>
          <w:sz w:val="21"/>
          <w:szCs w:val="21"/>
        </w:rPr>
        <w:t xml:space="preserve"> and is covered by appropriate safeguards.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[Group employers]</w:t>
      </w:r>
      <w:r>
        <w:rPr>
          <w:rFonts w:ascii="Calibri" w:cs="Calibri" w:eastAsia="Calibri" w:hAnsi="Calibri"/>
          <w:sz w:val="21"/>
          <w:szCs w:val="21"/>
        </w:rPr>
        <w:t xml:space="preserve"> Where your data is shared with a group company in another jurisdiction, that transfer is assessed and documented.</w:t>
      </w:r>
    </w:p>
    <w:p>
      <w:pPr>
        <w:keepNext/>
        <w:spacing w:after="120" w:before="280"/>
        <w:outlineLvl w:val="0"/>
      </w:pPr>
      <w:r>
        <w:rPr>
          <w:rFonts w:ascii="Calibri" w:cs="Calibri" w:eastAsia="Calibri" w:hAnsi="Calibri"/>
          <w:b/>
          <w:bCs/>
          <w:color w:val="14161B"/>
          <w:sz w:val="22"/>
          <w:szCs w:val="22"/>
        </w:rPr>
        <w:t xml:space="preserve">5. HOW LONG WE KEEP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Retention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file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r>
              <w:rPr>
                <w:rFonts w:ascii="Calibri" w:cs="Calibri" w:eastAsia="Calibri" w:hAnsi="Calibri"/>
                <w:sz w:val="18"/>
                <w:szCs w:val="18"/>
              </w:rPr>
              <w:t xml:space="preserve"> after employment ends</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Payroll, WPS and tax records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Seven years</w:t>
            </w:r>
            <w:r>
              <w:rPr>
                <w:rFonts w:ascii="Calibri" w:cs="Calibri" w:eastAsia="Calibri" w:hAnsi="Calibri"/>
                <w:sz w:val="18"/>
                <w:szCs w:val="18"/>
              </w:rPr>
              <w:t xml:space="preserve"> — tax retention</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End-of-service calculations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Immigration and permit records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and medical records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[Shorter period; restricted access]</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Disciplinary and grievance records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Unsuccessful applicant records</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[PERIOD]</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CCTV</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[Short period]</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We delete or anonymise data when the retention period ends, unless we are required to keep it longer.</w:t>
      </w:r>
    </w:p>
    <w:p>
      <w:pPr>
        <w:keepNext/>
        <w:spacing w:after="120" w:before="280"/>
        <w:outlineLvl w:val="0"/>
      </w:pPr>
      <w:r>
        <w:rPr>
          <w:rFonts w:ascii="Calibri" w:cs="Calibri" w:eastAsia="Calibri" w:hAnsi="Calibri"/>
          <w:b/>
          <w:bCs/>
          <w:color w:val="14161B"/>
          <w:sz w:val="22"/>
          <w:szCs w:val="22"/>
        </w:rPr>
        <w:t xml:space="preserve">6. YOUR RIGHTS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You may </w:t>
      </w:r>
      <w:r>
        <w:rPr>
          <w:rFonts w:ascii="Calibri" w:cs="Calibri" w:eastAsia="Calibri" w:hAnsi="Calibri"/>
          <w:b/>
          <w:bCs/>
          <w:sz w:val="21"/>
          <w:szCs w:val="21"/>
        </w:rPr>
        <w:t xml:space="preserve">ask what we hold</w:t>
      </w:r>
      <w:r>
        <w:rPr>
          <w:rFonts w:ascii="Calibri" w:cs="Calibri" w:eastAsia="Calibri" w:hAnsi="Calibri"/>
          <w:sz w:val="21"/>
          <w:szCs w:val="21"/>
        </w:rPr>
        <w:t xml:space="preserve"> about you and receive a copy; </w:t>
      </w:r>
      <w:r>
        <w:rPr>
          <w:rFonts w:ascii="Calibri" w:cs="Calibri" w:eastAsia="Calibri" w:hAnsi="Calibri"/>
          <w:b/>
          <w:bCs/>
          <w:sz w:val="21"/>
          <w:szCs w:val="21"/>
        </w:rPr>
        <w:t xml:space="preserve">ask us to correct</w:t>
      </w:r>
      <w:r>
        <w:rPr>
          <w:rFonts w:ascii="Calibri" w:cs="Calibri" w:eastAsia="Calibri" w:hAnsi="Calibri"/>
          <w:sz w:val="21"/>
          <w:szCs w:val="21"/>
        </w:rPr>
        <w:t xml:space="preserve"> anything inaccurate; </w:t>
      </w:r>
      <w:r>
        <w:rPr>
          <w:rFonts w:ascii="Calibri" w:cs="Calibri" w:eastAsia="Calibri" w:hAnsi="Calibri"/>
          <w:b/>
          <w:bCs/>
          <w:sz w:val="21"/>
          <w:szCs w:val="21"/>
        </w:rPr>
        <w:t xml:space="preserve">ask us to delete</w:t>
      </w:r>
      <w:r>
        <w:rPr>
          <w:rFonts w:ascii="Calibri" w:cs="Calibri" w:eastAsia="Calibri" w:hAnsi="Calibri"/>
          <w:sz w:val="21"/>
          <w:szCs w:val="21"/>
        </w:rPr>
        <w:t xml:space="preserve"> data where there is a ground; </w:t>
      </w:r>
      <w:r>
        <w:rPr>
          <w:rFonts w:ascii="Calibri" w:cs="Calibri" w:eastAsia="Calibri" w:hAnsi="Calibri"/>
          <w:b/>
          <w:bCs/>
          <w:sz w:val="21"/>
          <w:szCs w:val="21"/>
        </w:rPr>
        <w:t xml:space="preserve">object to or restrict</w:t>
      </w:r>
      <w:r>
        <w:rPr>
          <w:rFonts w:ascii="Calibri" w:cs="Calibri" w:eastAsia="Calibri" w:hAnsi="Calibri"/>
          <w:sz w:val="21"/>
          <w:szCs w:val="21"/>
        </w:rPr>
        <w:t xml:space="preserve"> processing in defined circumstances; and </w:t>
      </w:r>
      <w:r>
        <w:rPr>
          <w:rFonts w:ascii="Calibri" w:cs="Calibri" w:eastAsia="Calibri" w:hAnsi="Calibri"/>
          <w:b/>
          <w:bCs/>
          <w:sz w:val="21"/>
          <w:szCs w:val="21"/>
        </w:rPr>
        <w:t xml:space="preserve">withdraw consent</w:t>
      </w:r>
      <w:r>
        <w:rPr>
          <w:rFonts w:ascii="Calibri" w:cs="Calibri" w:eastAsia="Calibri" w:hAnsi="Calibri"/>
          <w:sz w:val="21"/>
          <w:szCs w:val="21"/>
        </w:rPr>
        <w:t xml:space="preserve"> where consent is the basis.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[Where the regime provides]</w:t>
      </w:r>
      <w:r>
        <w:rPr>
          <w:rFonts w:ascii="Calibri" w:cs="Calibri" w:eastAsia="Calibri" w:hAnsi="Calibri"/>
          <w:sz w:val="21"/>
          <w:szCs w:val="21"/>
        </w:rPr>
        <w:t xml:space="preserve"> You may also ask for your data in a </w:t>
      </w:r>
      <w:r>
        <w:rPr>
          <w:rFonts w:ascii="Calibri" w:cs="Calibri" w:eastAsia="Calibri" w:hAnsi="Calibri"/>
          <w:b/>
          <w:bCs/>
          <w:sz w:val="21"/>
          <w:szCs w:val="21"/>
        </w:rPr>
        <w:t xml:space="preserve">portable format</w:t>
      </w:r>
      <w:r>
        <w:rPr>
          <w:rFonts w:ascii="Calibri" w:cs="Calibri" w:eastAsia="Calibri" w:hAnsi="Calibri"/>
          <w:sz w:val="21"/>
          <w:szCs w:val="21"/>
        </w:rPr>
        <w:t xml:space="preserve"> and object to decisions made solely by automated processing with significant effects.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Requests go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We will acknowledge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and respond within the period the law requires.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Asking about your data will never disadvantage you.</w:t>
      </w:r>
      <w:r>
        <w:rPr>
          <w:rFonts w:ascii="Calibri" w:cs="Calibri" w:eastAsia="Calibri" w:hAnsi="Calibri"/>
          <w:sz w:val="21"/>
          <w:szCs w:val="21"/>
        </w:rPr>
        <w:t xml:space="preserve"> If you are not satisfied with our response you may complain to </w:t>
      </w:r>
      <w:r>
        <w:rPr>
          <w:rFonts w:ascii="Calibri" w:cs="Calibri" w:eastAsia="Calibri" w:hAnsi="Calibri"/>
          <w:b/>
          <w:bCs/>
          <w:sz w:val="21"/>
          <w:szCs w:val="21"/>
        </w:rPr>
        <w:t xml:space="preserve">[REGULATOR]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Clause 6.4 is not decoration. Employees whose residence depends on their job are reluctant to make requests of their employer, and a notice that does not say this plainly will not be used.</w:t>
      </w:r>
    </w:p>
    <w:p>
      <w:pPr>
        <w:keepNext/>
        <w:spacing w:after="120" w:before="280"/>
        <w:outlineLvl w:val="0"/>
      </w:pPr>
      <w:r>
        <w:rPr>
          <w:rFonts w:ascii="Calibri" w:cs="Calibri" w:eastAsia="Calibri" w:hAnsi="Calibri"/>
          <w:b/>
          <w:bCs/>
          <w:color w:val="14161B"/>
          <w:sz w:val="22"/>
          <w:szCs w:val="22"/>
        </w:rPr>
        <w:t xml:space="preserve">7. SECURITY AND MONITORING</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We apply access controls, restrict who can see HR and health data, and require our providers to protect your data.</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We monitor our systems for security and compliance purposes, proportionately and as described in our IT policy.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If a breach affects your data and there is a high risk to you, we will tell you.</w:t>
      </w:r>
    </w:p>
    <w:p>
      <w:pPr>
        <w:spacing w:after="160"/>
      </w:pPr>
    </w:p>
    <w:p>
      <w:pPr>
        <w:spacing w:after="14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I have received this notice in a language I understand.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the notice most often missing</w:t>
      </w:r>
    </w:p>
    <w:p>
      <w:pPr>
        <w:spacing w:after="60" w:line="264"/>
        <w:jc w:val="both"/>
      </w:pPr>
      <w:r>
        <w:rPr>
          <w:rFonts w:ascii="Calibri" w:cs="Calibri" w:eastAsia="Calibri" w:hAnsi="Calibri"/>
          <w:sz w:val="19"/>
          <w:szCs w:val="19"/>
        </w:rPr>
        <w:t xml:space="preserve">Organisations write a customer privacy notice and appoint a DPO, then never tell employees anything. The employment relationship generates more sensitive data than most customer relationships, and it is the one where the individual has least power to object.</w:t>
      </w:r>
    </w:p>
    <w:p>
      <w:pPr>
        <w:keepNext/>
        <w:spacing w:after="40" w:before="140"/>
      </w:pPr>
      <w:r>
        <w:rPr>
          <w:rFonts w:ascii="Calibri" w:cs="Calibri" w:eastAsia="Calibri" w:hAnsi="Calibri"/>
          <w:b/>
          <w:bCs/>
          <w:color w:val="14161B"/>
          <w:sz w:val="20"/>
          <w:szCs w:val="20"/>
        </w:rPr>
        <w:t xml:space="preserve">You hold health data on everyone</w:t>
      </w:r>
    </w:p>
    <w:p>
      <w:pPr>
        <w:spacing w:after="60" w:line="264"/>
        <w:jc w:val="both"/>
      </w:pPr>
      <w:r>
        <w:rPr>
          <w:rFonts w:ascii="Calibri" w:cs="Calibri" w:eastAsia="Calibri" w:hAnsi="Calibri"/>
          <w:sz w:val="19"/>
          <w:szCs w:val="19"/>
        </w:rPr>
        <w:t xml:space="preserve">Medical fitness testing is required for a residence visa and health insurance is mandatory, so every UAE employer processes health data about every employee. Employers routinely conclude they hold nothing sensitive. They do, from day one.</w:t>
      </w:r>
    </w:p>
    <w:p>
      <w:pPr>
        <w:keepNext/>
        <w:spacing w:after="40" w:before="140"/>
      </w:pPr>
      <w:r>
        <w:rPr>
          <w:rFonts w:ascii="Calibri" w:cs="Calibri" w:eastAsia="Calibri" w:hAnsi="Calibri"/>
          <w:b/>
          <w:bCs/>
          <w:color w:val="14161B"/>
          <w:sz w:val="20"/>
          <w:szCs w:val="20"/>
        </w:rPr>
        <w:t xml:space="preserve">Do not rely on employee consent for core processing</w:t>
      </w:r>
    </w:p>
    <w:p>
      <w:pPr>
        <w:spacing w:after="60" w:line="264"/>
        <w:jc w:val="both"/>
      </w:pPr>
      <w:r>
        <w:rPr>
          <w:rFonts w:ascii="Calibri" w:cs="Calibri" w:eastAsia="Calibri" w:hAnsi="Calibri"/>
          <w:sz w:val="19"/>
          <w:szCs w:val="19"/>
        </w:rPr>
        <w:t xml:space="preserve">Consent given by an employee to their employer is rarely freely given, because refusing has obvious consequences. Use contract and legal obligation for the processing you must do, and reserve consent for genuinely optional things.</w:t>
      </w:r>
    </w:p>
    <w:p>
      <w:pPr>
        <w:keepNext/>
        <w:spacing w:after="40" w:before="140"/>
      </w:pPr>
      <w:r>
        <w:rPr>
          <w:rFonts w:ascii="Calibri" w:cs="Calibri" w:eastAsia="Calibri" w:hAnsi="Calibri"/>
          <w:b/>
          <w:bCs/>
          <w:color w:val="14161B"/>
          <w:sz w:val="20"/>
          <w:szCs w:val="20"/>
        </w:rPr>
        <w:t xml:space="preserve">Use the bases the applicable regime actually provides</w:t>
      </w:r>
    </w:p>
    <w:p>
      <w:pPr>
        <w:spacing w:after="60" w:line="264"/>
        <w:jc w:val="both"/>
      </w:pPr>
      <w:r>
        <w:rPr>
          <w:rFonts w:ascii="Calibri" w:cs="Calibri" w:eastAsia="Calibri" w:hAnsi="Calibri"/>
          <w:sz w:val="19"/>
          <w:szCs w:val="19"/>
        </w:rPr>
        <w:t xml:space="preserve">Legitimate interests is available under DIFC and ADGM; the federal regime leans more heavily on consent and other bases. A notice copied from a European or DIFC template and applied to a mainland entity claims bases it cannot rely on.</w:t>
      </w:r>
    </w:p>
    <w:p>
      <w:pPr>
        <w:keepNext/>
        <w:spacing w:after="40" w:before="140"/>
      </w:pPr>
      <w:r>
        <w:rPr>
          <w:rFonts w:ascii="Calibri" w:cs="Calibri" w:eastAsia="Calibri" w:hAnsi="Calibri"/>
          <w:b/>
          <w:bCs/>
          <w:color w:val="14161B"/>
          <w:sz w:val="20"/>
          <w:szCs w:val="20"/>
        </w:rPr>
        <w:t xml:space="preserve">Say that asking will not disadvantage them</w:t>
      </w:r>
    </w:p>
    <w:p>
      <w:pPr>
        <w:spacing w:after="60" w:line="264"/>
        <w:jc w:val="both"/>
      </w:pPr>
      <w:r>
        <w:rPr>
          <w:rFonts w:ascii="Calibri" w:cs="Calibri" w:eastAsia="Calibri" w:hAnsi="Calibri"/>
          <w:sz w:val="19"/>
          <w:szCs w:val="19"/>
        </w:rPr>
        <w:t xml:space="preserve">Employees whose residence depends on their employment are reluctant to make requests of their employer. A notice that does not address that plainly will not be used, and the absence of requests will be mistaken for satisfaction.</w:t>
      </w:r>
    </w:p>
    <w:p>
      <w:pPr>
        <w:keepNext/>
        <w:spacing w:after="40" w:before="140"/>
      </w:pPr>
      <w:r>
        <w:rPr>
          <w:rFonts w:ascii="Calibri" w:cs="Calibri" w:eastAsia="Calibri" w:hAnsi="Calibri"/>
          <w:b/>
          <w:bCs/>
          <w:color w:val="14161B"/>
          <w:sz w:val="20"/>
          <w:szCs w:val="20"/>
        </w:rPr>
        <w:t xml:space="preserve">Issue it in languages people read</w:t>
      </w:r>
    </w:p>
    <w:p>
      <w:pPr>
        <w:spacing w:after="60" w:line="264"/>
        <w:jc w:val="both"/>
      </w:pPr>
      <w:r>
        <w:rPr>
          <w:rFonts w:ascii="Calibri" w:cs="Calibri" w:eastAsia="Calibri" w:hAnsi="Calibri"/>
          <w:sz w:val="19"/>
          <w:szCs w:val="19"/>
        </w:rPr>
        <w:t xml:space="preserve">A notice circulated in English to a workforce reading Hindi, Urdu, Tagalog, Malayalam or Arabic has been distributed, not communicated. Translate it and record which language each person received.</w:t>
      </w:r>
    </w:p>
    <w:p>
      <w:pPr>
        <w:keepNext/>
        <w:spacing w:after="40" w:before="140"/>
      </w:pPr>
      <w:r>
        <w:rPr>
          <w:rFonts w:ascii="Calibri" w:cs="Calibri" w:eastAsia="Calibri" w:hAnsi="Calibri"/>
          <w:b/>
          <w:bCs/>
          <w:color w:val="14161B"/>
          <w:sz w:val="20"/>
          <w:szCs w:val="20"/>
        </w:rPr>
        <w:t xml:space="preserve">List the government recipients honestly</w:t>
      </w:r>
    </w:p>
    <w:p>
      <w:pPr>
        <w:spacing w:after="60" w:line="264"/>
        <w:jc w:val="both"/>
      </w:pPr>
      <w:r>
        <w:rPr>
          <w:rFonts w:ascii="Calibri" w:cs="Calibri" w:eastAsia="Calibri" w:hAnsi="Calibri"/>
          <w:sz w:val="19"/>
          <w:szCs w:val="19"/>
        </w:rPr>
        <w:t xml:space="preserve">MOHRE or the zone authority, immigration, the bank for WPS, the health insurer, the medical testing centre, and GPSSA where applicable. Employees are entitled to know their data goes to these bodies, and the list is longer than most notices admit.</w:t>
      </w:r>
    </w:p>
    <w:p>
      <w:pPr>
        <w:keepNext/>
        <w:spacing w:after="40" w:before="140"/>
      </w:pPr>
      <w:r>
        <w:rPr>
          <w:rFonts w:ascii="Calibri" w:cs="Calibri" w:eastAsia="Calibri" w:hAnsi="Calibri"/>
          <w:b/>
          <w:bCs/>
          <w:color w:val="14161B"/>
          <w:sz w:val="20"/>
          <w:szCs w:val="20"/>
        </w:rPr>
        <w:t xml:space="preserve">Health insurers receive health data</w:t>
      </w:r>
    </w:p>
    <w:p>
      <w:pPr>
        <w:spacing w:after="60" w:line="264"/>
        <w:jc w:val="both"/>
      </w:pPr>
      <w:r>
        <w:rPr>
          <w:rFonts w:ascii="Calibri" w:cs="Calibri" w:eastAsia="Calibri" w:hAnsi="Calibri"/>
          <w:sz w:val="19"/>
          <w:szCs w:val="19"/>
        </w:rPr>
        <w:t xml:space="preserve">Enrolment and claims processing means the insurer sees medical information about your staff. That is a disclosure of sensitive data and it belongs in the notice, with a processing agreement behind it.</w:t>
      </w:r>
    </w:p>
    <w:p>
      <w:pPr>
        <w:keepNext/>
        <w:spacing w:after="40" w:before="140"/>
      </w:pPr>
      <w:r>
        <w:rPr>
          <w:rFonts w:ascii="Calibri" w:cs="Calibri" w:eastAsia="Calibri" w:hAnsi="Calibri"/>
          <w:b/>
          <w:bCs/>
          <w:color w:val="14161B"/>
          <w:sz w:val="20"/>
          <w:szCs w:val="20"/>
        </w:rPr>
        <w:t xml:space="preserve">Restrict access to HR and health data internally</w:t>
      </w:r>
    </w:p>
    <w:p>
      <w:pPr>
        <w:spacing w:after="60" w:line="264"/>
        <w:jc w:val="both"/>
      </w:pPr>
      <w:r>
        <w:rPr>
          <w:rFonts w:ascii="Calibri" w:cs="Calibri" w:eastAsia="Calibri" w:hAnsi="Calibri"/>
          <w:sz w:val="19"/>
          <w:szCs w:val="19"/>
        </w:rPr>
        <w:t xml:space="preserve">The most common weakness is not external sharing but internal access — whole teams able to see payroll, medical results and disciplinary records because permissions were never narrowed. Access should be role-based and logged.</w:t>
      </w:r>
    </w:p>
    <w:p>
      <w:pPr>
        <w:keepNext/>
        <w:spacing w:after="40" w:before="140"/>
      </w:pPr>
      <w:r>
        <w:rPr>
          <w:rFonts w:ascii="Calibri" w:cs="Calibri" w:eastAsia="Calibri" w:hAnsi="Calibri"/>
          <w:b/>
          <w:bCs/>
          <w:color w:val="14161B"/>
          <w:sz w:val="20"/>
          <w:szCs w:val="20"/>
        </w:rPr>
        <w:t xml:space="preserve">DIFC and ADGM employers transfer to the mainland</w:t>
      </w:r>
    </w:p>
    <w:p>
      <w:pPr>
        <w:spacing w:after="60" w:line="264"/>
        <w:jc w:val="both"/>
      </w:pPr>
      <w:r>
        <w:rPr>
          <w:rFonts w:ascii="Calibri" w:cs="Calibri" w:eastAsia="Calibri" w:hAnsi="Calibri"/>
          <w:sz w:val="19"/>
          <w:szCs w:val="19"/>
        </w:rPr>
        <w:t xml:space="preserve">Using a mainland payroll bureau, bank or insurer means transferring employee data out of the financial free zone, and the mainland is not on the DIFC adequacy list. This affects almost every DIFC employer and is almost never documented.</w:t>
      </w:r>
    </w:p>
    <w:p>
      <w:pPr>
        <w:keepNext/>
        <w:spacing w:after="40" w:before="140"/>
      </w:pPr>
      <w:r>
        <w:rPr>
          <w:rFonts w:ascii="Calibri" w:cs="Calibri" w:eastAsia="Calibri" w:hAnsi="Calibri"/>
          <w:b/>
          <w:bCs/>
          <w:color w:val="14161B"/>
          <w:sz w:val="20"/>
          <w:szCs w:val="20"/>
        </w:rPr>
        <w:t xml:space="preserve">Set real retention periods</w:t>
      </w:r>
    </w:p>
    <w:p>
      <w:pPr>
        <w:spacing w:after="60" w:line="264"/>
        <w:jc w:val="both"/>
      </w:pPr>
      <w:r>
        <w:rPr>
          <w:rFonts w:ascii="Calibri" w:cs="Calibri" w:eastAsia="Calibri" w:hAnsi="Calibri"/>
          <w:sz w:val="19"/>
          <w:szCs w:val="19"/>
        </w:rPr>
        <w:t xml:space="preserve">Payroll and tax records need seven years; health data should be held for less and with tighter access; unsuccessful applicant records rarely need years. Blank or indefinite retention advertises that the obligation is not being met.</w:t>
      </w:r>
    </w:p>
    <w:p>
      <w:pPr>
        <w:keepNext/>
        <w:spacing w:after="40" w:before="140"/>
      </w:pPr>
      <w:r>
        <w:rPr>
          <w:rFonts w:ascii="Calibri" w:cs="Calibri" w:eastAsia="Calibri" w:hAnsi="Calibri"/>
          <w:b/>
          <w:bCs/>
          <w:color w:val="14161B"/>
          <w:sz w:val="20"/>
          <w:szCs w:val="20"/>
        </w:rPr>
        <w:t xml:space="preserve">Tell people about monitoring</w:t>
      </w:r>
    </w:p>
    <w:p>
      <w:pPr>
        <w:spacing w:after="60" w:line="264"/>
        <w:jc w:val="both"/>
      </w:pPr>
      <w:r>
        <w:rPr>
          <w:rFonts w:ascii="Calibri" w:cs="Calibri" w:eastAsia="Calibri" w:hAnsi="Calibri"/>
          <w:sz w:val="19"/>
          <w:szCs w:val="19"/>
        </w:rPr>
        <w:t xml:space="preserve">System monitoring, building access records and CCTV are all processing of employee data. Disclose them here and in the IT policy. Covert monitoring without a clear basis is a breach and destroys trust when discovered.</w:t>
      </w:r>
    </w:p>
    <w:p>
      <w:pPr>
        <w:keepNext/>
        <w:spacing w:after="40" w:before="140"/>
      </w:pPr>
      <w:r>
        <w:rPr>
          <w:rFonts w:ascii="Calibri" w:cs="Calibri" w:eastAsia="Calibri" w:hAnsi="Calibri"/>
          <w:b/>
          <w:bCs/>
          <w:color w:val="14161B"/>
          <w:sz w:val="20"/>
          <w:szCs w:val="20"/>
        </w:rPr>
        <w:t xml:space="preserve">Issue it at onboarding, not later</w:t>
      </w:r>
    </w:p>
    <w:p>
      <w:pPr>
        <w:spacing w:after="60" w:line="264"/>
        <w:jc w:val="both"/>
      </w:pPr>
      <w:r>
        <w:rPr>
          <w:rFonts w:ascii="Calibri" w:cs="Calibri" w:eastAsia="Calibri" w:hAnsi="Calibri"/>
          <w:sz w:val="19"/>
          <w:szCs w:val="19"/>
        </w:rPr>
        <w:t xml:space="preserve">The notice belongs in the first-week pack with the contract, handbook and IP assignment. Issuing it years into employment invites the question of what was happening before.</w:t>
      </w:r>
    </w:p>
    <w:p>
      <w:pPr>
        <w:keepNext/>
        <w:spacing w:after="40" w:before="140"/>
      </w:pPr>
      <w:r>
        <w:rPr>
          <w:rFonts w:ascii="Calibri" w:cs="Calibri" w:eastAsia="Calibri" w:hAnsi="Calibri"/>
          <w:b/>
          <w:bCs/>
          <w:color w:val="14161B"/>
          <w:sz w:val="20"/>
          <w:szCs w:val="20"/>
        </w:rPr>
        <w:t xml:space="preserve">Update it when the systems change</w:t>
      </w:r>
    </w:p>
    <w:p>
      <w:pPr>
        <w:spacing w:after="60" w:line="264"/>
        <w:jc w:val="both"/>
      </w:pPr>
      <w:r>
        <w:rPr>
          <w:rFonts w:ascii="Calibri" w:cs="Calibri" w:eastAsia="Calibri" w:hAnsi="Calibri"/>
          <w:sz w:val="19"/>
          <w:szCs w:val="19"/>
        </w:rPr>
        <w:t xml:space="preserve">A new HR platform, payroll provider, insurer or group reporting arrangement changes who receives the data. The notice drifts out of date silently — tie the review to system changes as well as an annual date.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DIFC and ADGM positions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status of the federal PDPL Executive Regulations is reported inconsistently and bears on response periods and rights.</w:t>
      </w:r>
      <w:r>
        <w:rPr>
          <w:rFonts w:ascii="Calibri" w:cs="Calibri" w:eastAsia="Calibri" w:hAnsi="Calibri"/>
          <w:sz w:val="19"/>
          <w:szCs w:val="19"/>
        </w:rPr>
        <w:t xml:space="preserve"> Retention requirements, transfer rules and regulator contacts change — confirm with the relevant regulator or a UAE data protection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2026-08-23T16:28:36.120Z</dcterms:created>
  <dcterms:modified xsi:type="dcterms:W3CDTF">2026-08-23T16:28:36.120Z</dcterms:modified>
</cp:coreProperties>
</file>

<file path=docProps/custom.xml><?xml version="1.0" encoding="utf-8"?>
<Properties xmlns="http://schemas.openxmlformats.org/officeDocument/2006/custom-properties" xmlns:vt="http://schemas.openxmlformats.org/officeDocument/2006/docPropsVTypes"/>
</file>