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ONBOARDING</w:t>
      </w:r>
    </w:p>
    <w:p>
      <w:pPr>
        <w:spacing w:after="260"/>
        <w:jc w:val="center"/>
      </w:pPr>
      <w:r>
        <w:rPr>
          <w:rFonts w:ascii="Calibri" w:cs="Calibri" w:eastAsia="Calibri" w:hAnsi="Calibri"/>
          <w:i/>
          <w:iCs/>
          <w:color w:val="6E7480"/>
          <w:sz w:val="19"/>
          <w:szCs w:val="19"/>
        </w:rPr>
        <w:t xml:space="preserve">From offer to first payroll</w:t>
      </w:r>
    </w:p>
    <w:p>
      <w:pPr>
        <w:spacing w:after="180" w:before="0" w:line="276"/>
        <w:jc w:val="both"/>
      </w:pPr>
      <w:r>
        <w:rPr>
          <w:rFonts w:ascii="Calibri" w:cs="Calibri" w:eastAsia="Calibri" w:hAnsi="Calibri"/>
          <w:i/>
          <w:iCs/>
          <w:color w:val="6E7480"/>
          <w:sz w:val="21"/>
          <w:szCs w:val="21"/>
        </w:rPr>
        <w:t xml:space="preserve">Two deadlines sit inside the first month and both are missed routinely. The </w:t>
      </w:r>
      <w:r>
        <w:rPr>
          <w:rFonts w:ascii="Calibri" w:cs="Calibri" w:eastAsia="Calibri" w:hAnsi="Calibri"/>
          <w:b/>
          <w:bCs/>
          <w:i/>
          <w:iCs/>
          <w:color w:val="6E7480"/>
          <w:sz w:val="21"/>
          <w:szCs w:val="21"/>
        </w:rPr>
        <w:t xml:space="preserve">MOHRE contract must be registered within 14 days</w:t>
      </w:r>
      <w:r>
        <w:rPr>
          <w:rFonts w:ascii="Calibri" w:cs="Calibri" w:eastAsia="Calibri" w:hAnsi="Calibri"/>
          <w:i/>
          <w:iCs/>
          <w:color w:val="6E7480"/>
          <w:sz w:val="21"/>
          <w:szCs w:val="21"/>
        </w:rPr>
        <w:t xml:space="preserve"> of work permit approval, and the employee </w:t>
      </w:r>
      <w:r>
        <w:rPr>
          <w:rFonts w:ascii="Calibri" w:cs="Calibri" w:eastAsia="Calibri" w:hAnsi="Calibri"/>
          <w:b/>
          <w:bCs/>
          <w:i/>
          <w:iCs/>
          <w:color w:val="6E7480"/>
          <w:sz w:val="21"/>
          <w:szCs w:val="21"/>
        </w:rPr>
        <w:t xml:space="preserve">cannot lawfully start work before the permit issues</w:t>
      </w:r>
      <w:r>
        <w:rPr>
          <w:rFonts w:ascii="Calibri" w:cs="Calibri" w:eastAsia="Calibri" w:hAnsi="Calibri"/>
          <w:i/>
          <w:iCs/>
          <w:color w:val="6E7480"/>
          <w:sz w:val="21"/>
          <w:szCs w:val="21"/>
        </w:rPr>
        <w:t xml:space="preserve">. Everything else is sequencing around those two.</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 (as on the permit)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Recruited from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[Overseas / Inside the UAE — transfer]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Offer accepted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permit approved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Contract registration deadline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14 days from permit approval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Start date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payroll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bl>
    <w:p>
      <w:pPr>
        <w:spacing w:after="180"/>
      </w:pPr>
    </w:p>
    <w:p>
      <w:pPr>
        <w:keepNext/>
        <w:spacing w:after="120" w:before="280"/>
        <w:outlineLvl w:val="0"/>
      </w:pPr>
      <w:r>
        <w:rPr>
          <w:rFonts w:ascii="Calibri" w:cs="Calibri" w:eastAsia="Calibri" w:hAnsi="Calibri"/>
          <w:b/>
          <w:bCs/>
          <w:color w:val="14161B"/>
          <w:sz w:val="22"/>
          <w:szCs w:val="22"/>
        </w:rPr>
        <w:t xml:space="preserve">THE TWO THAT MUST NOT SLIP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Deadline</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 of missing it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must not work before the permit issues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Unlawful for the employer; exposes the individual to penalties and status problems. Time pressure is not a defence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MOHRE contract registered within 14 days of permit approval</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Compliance breach; the registered contract is the operative document and until it exists the position is irregular</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ONBOARDING CHECKLIST</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751"/>
        <w:gridCol w:w="6015"/>
        <w:gridCol w:w="2105"/>
        <w:gridCol w:w="1654"/>
        <w:gridCol w:w="2706"/>
        <w:gridCol w:w="1807"/>
      </w:tblGrid>
      <w:tr>
        <w:trPr>
          <w:cantSplit/>
          <w:tblHeader/>
        </w:trPr>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60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Step</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When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Owner</w:t>
            </w:r>
          </w:p>
        </w:tc>
        <w:tc>
          <w:tcPr>
            <w:tcW w:type="dxa" w:w="27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Applies to</w:t>
            </w:r>
          </w:p>
        </w:tc>
        <w:tc>
          <w:tcPr>
            <w:tcW w:type="dxa" w:w="18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Done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Before the offer</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Quota confirmed available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Job title matches a licensed activity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Candidate’s current UAE status established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Any existing ban or restriction checked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Qualification attestation started where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Where needed</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Total cost of hire modelled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offer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[Finance]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Offer and permit</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Offer issued and signed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Day 0</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Work permit application submitted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Day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 / PRO]</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Entry permit issued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 processing</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Overseas hires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Candidate enters on the entry permit</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Within validity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Overseas hires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Arrival</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Medical fitness test</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On arrival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foreign hires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Emirates ID application and biometrics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On arrival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Health insurance activated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visa</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MOHRE contract registered — within 14 days of permit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Critical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Mainland</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Residence visa issued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 processing</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foreign hires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Work permit / labour card issued — employee may now work</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start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Employment documents</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Supplementary agreement signed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Confidentiality and IP assignment signed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Employee handbook issued and acknowledged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Data protection notice issued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Safety induction delivered in a language they understand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Day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[Safety]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Payroll and systems</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Bank account opened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payroll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Added to WPS at the registered salary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payroll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[Payroll]</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Mainland, most zones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24</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DEWS or scheme enrolment</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payroll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[Payroll]</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DIFC / ADGM</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25</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GPSSA registration</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Before payroll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[Payroll]</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Emirati employees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26</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ILOE subscription explained to the employee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27</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Gratuity accrual started on basic salary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Month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[Finance]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Mainland, zones</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28</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Systems access provisioned to role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Day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Records and tracking</w:t>
            </w:r>
          </w:p>
        </w:tc>
        <w:tc>
          <w:tcPr>
            <w:tcW w:type="dxa" w:w="6015"/>
            <w:tcMar>
              <w:top w:type="dxa" w:w="70"/>
              <w:left w:type="dxa" w:w="100"/>
              <w:bottom w:type="dxa" w:w="70"/>
              <w:right w:type="dxa" w:w="100"/>
            </w:tcMar>
            <w:vAlign w:val="center"/>
          </w:tcPr>
          <w:p>
            <w:pPr>
              <w:spacing w:after="0" w:line="240"/>
              <w:jc w:val="left"/>
            </w:pPr>
          </w:p>
        </w:tc>
        <w:tc>
          <w:tcPr>
            <w:tcW w:type="dxa" w:w="2105"/>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2706"/>
            <w:tcMar>
              <w:top w:type="dxa" w:w="70"/>
              <w:left w:type="dxa" w:w="100"/>
              <w:bottom w:type="dxa" w:w="70"/>
              <w:right w:type="dxa" w:w="100"/>
            </w:tcMar>
            <w:vAlign w:val="center"/>
          </w:tcPr>
          <w:p>
            <w:pPr>
              <w:spacing w:after="0" w:line="240"/>
              <w:jc w:val="left"/>
            </w:pPr>
          </w:p>
        </w:tc>
        <w:tc>
          <w:tcPr>
            <w:tcW w:type="dxa" w:w="1807"/>
            <w:tcMar>
              <w:top w:type="dxa" w:w="70"/>
              <w:left w:type="dxa" w:w="100"/>
              <w:bottom w:type="dxa" w:w="70"/>
              <w:right w:type="dxa" w:w="100"/>
            </w:tcMar>
            <w:vAlign w:val="center"/>
          </w:tcPr>
          <w:p>
            <w:pPr>
              <w:spacing w:after="0" w:line="240"/>
              <w:jc w:val="left"/>
            </w:pP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29</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Personnel file opened with all documents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30</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Permit and visa expiry diarised with 6-month reminders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31</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Probation end date diarised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Week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32</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Emiratisation base recalculated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Month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Mainland</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rPr>
          <w:cantSplit/>
        </w:trPr>
        <w:tc>
          <w:tcPr>
            <w:tcW w:type="dxa" w:w="7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33</w:t>
            </w:r>
          </w:p>
        </w:tc>
        <w:tc>
          <w:tcPr>
            <w:tcW w:type="dxa" w:w="601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Establishment file and quota position updated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Month 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[HR]</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w:t>
            </w:r>
          </w:p>
        </w:tc>
        <w:tc>
          <w:tcPr>
            <w:tcW w:type="dxa" w:w="18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DOCUMENTS TO COLLECT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Held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Passport — valid for the required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Passport photographs to specification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Attested educational certificates where the role requires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Previous visa cancellation proof, where transferring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offer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MOHRE contract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supplementary agreement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Signed confidentiality and IP assignment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Handbook acknowledgement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notice acknowledgement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Safety induction record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Bank details for WPS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Emergency contact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Emirates ID copy once issued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Residence visa copy once issued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WHERE ONBOARDING GOES WRONG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3857"/>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Failure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it happens</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Prevention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 starts before the permit issues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 pressure; "they can start informally"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the start date from the permit, not from the offer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 not registered within 14 days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Treated as paperwork to catch up 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Diarise from permit approval, not from the start date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Missing from the first WPS run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account or Emirates ID not ready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Start the account during processing, not after arrival</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Job title on the permit differs from the actual role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Chosen for approval speed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Match the title to the role and the licence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Safety induction in a language they do not read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English pack used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Deliver in a language they understand and record it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DEWS enrolment missed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Migrated from a mainland entity, kept accruing gratuity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Enrol before the first payroll; arrears cannot be caught up</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Emiratisation base not updated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Nobody owns the calculation</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Recalculate on every skilled hire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Set the start date from the permit, not the offer</w:t>
      </w:r>
    </w:p>
    <w:p>
      <w:pPr>
        <w:spacing w:after="60" w:line="264"/>
        <w:jc w:val="both"/>
      </w:pPr>
      <w:r>
        <w:rPr>
          <w:rFonts w:ascii="Calibri" w:cs="Calibri" w:eastAsia="Calibri" w:hAnsi="Calibri"/>
          <w:sz w:val="19"/>
          <w:szCs w:val="19"/>
        </w:rPr>
        <w:t xml:space="preserve">An employee cannot lawfully work before the work permit issues. Business pressure to have someone start informally during processing is common and it is unlawful for the employer as well as exposing the individual. Make the permit date drive the calendar.</w:t>
      </w:r>
    </w:p>
    <w:p>
      <w:pPr>
        <w:keepNext/>
        <w:spacing w:after="40" w:before="140"/>
      </w:pPr>
      <w:r>
        <w:rPr>
          <w:rFonts w:ascii="Calibri" w:cs="Calibri" w:eastAsia="Calibri" w:hAnsi="Calibri"/>
          <w:b/>
          <w:bCs/>
          <w:color w:val="14161B"/>
          <w:sz w:val="20"/>
          <w:szCs w:val="20"/>
        </w:rPr>
        <w:t xml:space="preserve">Diarise the 14 days from permit approval</w:t>
      </w:r>
    </w:p>
    <w:p>
      <w:pPr>
        <w:spacing w:after="60" w:line="264"/>
        <w:jc w:val="both"/>
      </w:pPr>
      <w:r>
        <w:rPr>
          <w:rFonts w:ascii="Calibri" w:cs="Calibri" w:eastAsia="Calibri" w:hAnsi="Calibri"/>
          <w:sz w:val="19"/>
          <w:szCs w:val="19"/>
        </w:rPr>
        <w:t xml:space="preserve">The MOHRE contract must be registered within 14 days of work permit approval — not within 14 days of the start date, and not when convenient. Employers treat registration as catch-up paperwork and miss the window.</w:t>
      </w:r>
    </w:p>
    <w:p>
      <w:pPr>
        <w:keepNext/>
        <w:spacing w:after="40" w:before="140"/>
      </w:pPr>
      <w:r>
        <w:rPr>
          <w:rFonts w:ascii="Calibri" w:cs="Calibri" w:eastAsia="Calibri" w:hAnsi="Calibri"/>
          <w:b/>
          <w:bCs/>
          <w:color w:val="14161B"/>
          <w:sz w:val="20"/>
          <w:szCs w:val="20"/>
        </w:rPr>
        <w:t xml:space="preserve">Start the bank account during processing</w:t>
      </w:r>
    </w:p>
    <w:p>
      <w:pPr>
        <w:spacing w:after="60" w:line="264"/>
        <w:jc w:val="both"/>
      </w:pPr>
      <w:r>
        <w:rPr>
          <w:rFonts w:ascii="Calibri" w:cs="Calibri" w:eastAsia="Calibri" w:hAnsi="Calibri"/>
          <w:sz w:val="19"/>
          <w:szCs w:val="19"/>
        </w:rPr>
        <w:t xml:space="preserve">A new arrival cannot be paid through WPS without an account, and an account needs an Emirates ID. Beginning the process after arrival guarantees a first-month WPS failure, which now carries permit consequences from the first offence.</w:t>
      </w:r>
    </w:p>
    <w:p>
      <w:pPr>
        <w:keepNext/>
        <w:spacing w:after="40" w:before="140"/>
      </w:pPr>
      <w:r>
        <w:rPr>
          <w:rFonts w:ascii="Calibri" w:cs="Calibri" w:eastAsia="Calibri" w:hAnsi="Calibri"/>
          <w:b/>
          <w:bCs/>
          <w:color w:val="14161B"/>
          <w:sz w:val="20"/>
          <w:szCs w:val="20"/>
        </w:rPr>
        <w:t xml:space="preserve">Match the permit job title to the actual role</w:t>
      </w:r>
    </w:p>
    <w:p>
      <w:pPr>
        <w:spacing w:after="60" w:line="264"/>
        <w:jc w:val="both"/>
      </w:pPr>
      <w:r>
        <w:rPr>
          <w:rFonts w:ascii="Calibri" w:cs="Calibri" w:eastAsia="Calibri" w:hAnsi="Calibri"/>
          <w:sz w:val="19"/>
          <w:szCs w:val="19"/>
        </w:rPr>
        <w:t xml:space="preserve">Titles chosen because they process faster create a mismatch with the licence and with what the person does. It surfaces at renewal, at a regulator query, or in due diligence — and correcting it is slower than getting it right.</w:t>
      </w:r>
    </w:p>
    <w:p>
      <w:pPr>
        <w:keepNext/>
        <w:spacing w:after="40" w:before="140"/>
      </w:pPr>
      <w:r>
        <w:rPr>
          <w:rFonts w:ascii="Calibri" w:cs="Calibri" w:eastAsia="Calibri" w:hAnsi="Calibri"/>
          <w:b/>
          <w:bCs/>
          <w:color w:val="14161B"/>
          <w:sz w:val="20"/>
          <w:szCs w:val="20"/>
        </w:rPr>
        <w:t xml:space="preserve">Attestation is the long pole — start it first</w:t>
      </w:r>
    </w:p>
    <w:p>
      <w:pPr>
        <w:spacing w:after="60" w:line="264"/>
        <w:jc w:val="both"/>
      </w:pPr>
      <w:r>
        <w:rPr>
          <w:rFonts w:ascii="Calibri" w:cs="Calibri" w:eastAsia="Calibri" w:hAnsi="Calibri"/>
          <w:sz w:val="19"/>
          <w:szCs w:val="19"/>
        </w:rPr>
        <w:t xml:space="preserve">Where a role requires attested qualifications, the chain through the issuing country, the UAE embassy and the Ministry of Foreign Affairs takes weeks. Begin it before the offer, not after the permit application is rejected for a missing document.</w:t>
      </w:r>
    </w:p>
    <w:p>
      <w:pPr>
        <w:keepNext/>
        <w:spacing w:after="40" w:before="140"/>
      </w:pPr>
      <w:r>
        <w:rPr>
          <w:rFonts w:ascii="Calibri" w:cs="Calibri" w:eastAsia="Calibri" w:hAnsi="Calibri"/>
          <w:b/>
          <w:bCs/>
          <w:color w:val="14161B"/>
          <w:sz w:val="20"/>
          <w:szCs w:val="20"/>
        </w:rPr>
        <w:t xml:space="preserve">Deliver the safety induction in a language they read</w:t>
      </w:r>
    </w:p>
    <w:p>
      <w:pPr>
        <w:spacing w:after="60" w:line="264"/>
        <w:jc w:val="both"/>
      </w:pPr>
      <w:r>
        <w:rPr>
          <w:rFonts w:ascii="Calibri" w:cs="Calibri" w:eastAsia="Calibri" w:hAnsi="Calibri"/>
          <w:sz w:val="19"/>
          <w:szCs w:val="19"/>
        </w:rPr>
        <w:t xml:space="preserve">An induction given in English to someone who does not read it is not an induction, and the file will be examined on this point after an incident. Record which language was used.</w:t>
      </w:r>
    </w:p>
    <w:p>
      <w:pPr>
        <w:keepNext/>
        <w:spacing w:after="40" w:before="140"/>
      </w:pPr>
      <w:r>
        <w:rPr>
          <w:rFonts w:ascii="Calibri" w:cs="Calibri" w:eastAsia="Calibri" w:hAnsi="Calibri"/>
          <w:b/>
          <w:bCs/>
          <w:color w:val="14161B"/>
          <w:sz w:val="20"/>
          <w:szCs w:val="20"/>
        </w:rPr>
        <w:t xml:space="preserve">Enrol DIFC and ADGM employees in the scheme before payroll</w:t>
      </w:r>
    </w:p>
    <w:p>
      <w:pPr>
        <w:spacing w:after="60" w:line="264"/>
        <w:jc w:val="both"/>
      </w:pPr>
      <w:r>
        <w:rPr>
          <w:rFonts w:ascii="Calibri" w:cs="Calibri" w:eastAsia="Calibri" w:hAnsi="Calibri"/>
          <w:sz w:val="19"/>
          <w:szCs w:val="19"/>
        </w:rPr>
        <w:t xml:space="preserve">Funded end-of-service schemes require actual monthly contributions from the start. Employers migrating staff from a mainland entity often keep accruing a gratuity provision and never enrol, and the arrears cannot be settled at exit.</w:t>
      </w:r>
    </w:p>
    <w:p>
      <w:pPr>
        <w:keepNext/>
        <w:spacing w:after="40" w:before="140"/>
      </w:pPr>
      <w:r>
        <w:rPr>
          <w:rFonts w:ascii="Calibri" w:cs="Calibri" w:eastAsia="Calibri" w:hAnsi="Calibri"/>
          <w:b/>
          <w:bCs/>
          <w:color w:val="14161B"/>
          <w:sz w:val="20"/>
          <w:szCs w:val="20"/>
        </w:rPr>
        <w:t xml:space="preserve">Explain ILOE at induction</w:t>
      </w:r>
    </w:p>
    <w:p>
      <w:pPr>
        <w:spacing w:after="60" w:line="264"/>
        <w:jc w:val="both"/>
      </w:pPr>
      <w:r>
        <w:rPr>
          <w:rFonts w:ascii="Calibri" w:cs="Calibri" w:eastAsia="Calibri" w:hAnsi="Calibri"/>
          <w:sz w:val="19"/>
          <w:szCs w:val="19"/>
        </w:rPr>
        <w:t xml:space="preserve">Unemployment insurance subscription is the employee’s obligation, but failure to subscribe attracts a fine and can block a future work permit when they change employer. Mentioning it costs the employer nothing and prevents a problem it will hear about later.</w:t>
      </w:r>
    </w:p>
    <w:p>
      <w:pPr>
        <w:keepNext/>
        <w:spacing w:after="40" w:before="140"/>
      </w:pPr>
      <w:r>
        <w:rPr>
          <w:rFonts w:ascii="Calibri" w:cs="Calibri" w:eastAsia="Calibri" w:hAnsi="Calibri"/>
          <w:b/>
          <w:bCs/>
          <w:color w:val="14161B"/>
          <w:sz w:val="20"/>
          <w:szCs w:val="20"/>
        </w:rPr>
        <w:t xml:space="preserve">Recalculate the Emiratisation base on every skilled hire</w:t>
      </w:r>
    </w:p>
    <w:p>
      <w:pPr>
        <w:spacing w:after="60" w:line="264"/>
        <w:jc w:val="both"/>
      </w:pPr>
      <w:r>
        <w:rPr>
          <w:rFonts w:ascii="Calibri" w:cs="Calibri" w:eastAsia="Calibri" w:hAnsi="Calibri"/>
          <w:sz w:val="19"/>
          <w:szCs w:val="19"/>
        </w:rPr>
        <w:t xml:space="preserve">Each additional skilled non-Emirati employee raises the quota requirement. A company hiring steadily can drift out of compliance without losing an Emirati employee. Make the recalculation part of onboarding rather than an annual exercise.</w:t>
      </w:r>
    </w:p>
    <w:p>
      <w:pPr>
        <w:keepNext/>
        <w:spacing w:after="40" w:before="140"/>
      </w:pPr>
      <w:r>
        <w:rPr>
          <w:rFonts w:ascii="Calibri" w:cs="Calibri" w:eastAsia="Calibri" w:hAnsi="Calibri"/>
          <w:b/>
          <w:bCs/>
          <w:color w:val="14161B"/>
          <w:sz w:val="20"/>
          <w:szCs w:val="20"/>
        </w:rPr>
        <w:t xml:space="preserve">Diarise permit and visa expiries at six months</w:t>
      </w:r>
    </w:p>
    <w:p>
      <w:pPr>
        <w:spacing w:after="60" w:line="264"/>
        <w:jc w:val="both"/>
      </w:pPr>
      <w:r>
        <w:rPr>
          <w:rFonts w:ascii="Calibri" w:cs="Calibri" w:eastAsia="Calibri" w:hAnsi="Calibri"/>
          <w:sz w:val="19"/>
          <w:szCs w:val="19"/>
        </w:rPr>
        <w:t xml:space="preserve">Renewals involve third parties and documents. A one-month reminder produces a scramble; six months produces a process. Set it during onboarding while the dates are in front of you.</w:t>
      </w:r>
    </w:p>
    <w:p>
      <w:pPr>
        <w:keepNext/>
        <w:spacing w:after="40" w:before="140"/>
      </w:pPr>
      <w:r>
        <w:rPr>
          <w:rFonts w:ascii="Calibri" w:cs="Calibri" w:eastAsia="Calibri" w:hAnsi="Calibri"/>
          <w:b/>
          <w:bCs/>
          <w:color w:val="14161B"/>
          <w:sz w:val="20"/>
          <w:szCs w:val="20"/>
        </w:rPr>
        <w:t xml:space="preserve">Collect the IP assignment in week one</w:t>
      </w:r>
    </w:p>
    <w:p>
      <w:pPr>
        <w:spacing w:after="60" w:line="264"/>
        <w:jc w:val="both"/>
      </w:pPr>
      <w:r>
        <w:rPr>
          <w:rFonts w:ascii="Calibri" w:cs="Calibri" w:eastAsia="Calibri" w:hAnsi="Calibri"/>
          <w:sz w:val="19"/>
          <w:szCs w:val="19"/>
        </w:rPr>
        <w:t xml:space="preserve">Intellectual property assignment is not in the MOHRE contract and is far easier to obtain on day one than after the employee has built something valuable. Week one, with the handbook and the supplementary agreement.</w:t>
      </w:r>
    </w:p>
    <w:p>
      <w:pPr>
        <w:keepNext/>
        <w:spacing w:after="40" w:before="140"/>
      </w:pPr>
      <w:r>
        <w:rPr>
          <w:rFonts w:ascii="Calibri" w:cs="Calibri" w:eastAsia="Calibri" w:hAnsi="Calibri"/>
          <w:b/>
          <w:bCs/>
          <w:color w:val="14161B"/>
          <w:sz w:val="20"/>
          <w:szCs w:val="20"/>
        </w:rPr>
        <w:t xml:space="preserve">Provision system access to the role</w:t>
      </w:r>
    </w:p>
    <w:p>
      <w:pPr>
        <w:spacing w:after="60" w:line="264"/>
        <w:jc w:val="both"/>
      </w:pPr>
      <w:r>
        <w:rPr>
          <w:rFonts w:ascii="Calibri" w:cs="Calibri" w:eastAsia="Calibri" w:hAnsi="Calibri"/>
          <w:sz w:val="19"/>
          <w:szCs w:val="19"/>
        </w:rPr>
        <w:t xml:space="preserve">Access granted broadly on day one and never reviewed is how a leaver retains reach into systems months later. Provision to the role, record what was granted, and use the same record at exit.</w:t>
      </w:r>
    </w:p>
    <w:p>
      <w:pPr>
        <w:keepNext/>
        <w:spacing w:after="40" w:before="140"/>
      </w:pPr>
      <w:r>
        <w:rPr>
          <w:rFonts w:ascii="Calibri" w:cs="Calibri" w:eastAsia="Calibri" w:hAnsi="Calibri"/>
          <w:b/>
          <w:bCs/>
          <w:color w:val="14161B"/>
          <w:sz w:val="20"/>
          <w:szCs w:val="20"/>
        </w:rPr>
        <w:t xml:space="preserve">Transfers differ from overseas hires</w:t>
      </w:r>
    </w:p>
    <w:p>
      <w:pPr>
        <w:spacing w:after="60" w:line="264"/>
        <w:jc w:val="both"/>
      </w:pPr>
      <w:r>
        <w:rPr>
          <w:rFonts w:ascii="Calibri" w:cs="Calibri" w:eastAsia="Calibri" w:hAnsi="Calibri"/>
          <w:sz w:val="19"/>
          <w:szCs w:val="19"/>
        </w:rPr>
        <w:t xml:space="preserve">Someone already in the UAE on another employer’s permit follows a transfer route with its own requirements and possible restrictions. Establish their current status before assuming the standard sequence applies.</w:t>
      </w:r>
    </w:p>
    <w:p>
      <w:pPr>
        <w:keepNext/>
        <w:spacing w:after="40" w:before="140"/>
      </w:pPr>
      <w:r>
        <w:rPr>
          <w:rFonts w:ascii="Calibri" w:cs="Calibri" w:eastAsia="Calibri" w:hAnsi="Calibri"/>
          <w:b/>
          <w:bCs/>
          <w:color w:val="14161B"/>
          <w:sz w:val="20"/>
          <w:szCs w:val="20"/>
        </w:rPr>
        <w:t xml:space="preserve">Free zone and financial free zone steps differ</w:t>
      </w:r>
    </w:p>
    <w:p>
      <w:pPr>
        <w:spacing w:after="60" w:line="264"/>
        <w:jc w:val="both"/>
      </w:pPr>
      <w:r>
        <w:rPr>
          <w:rFonts w:ascii="Calibri" w:cs="Calibri" w:eastAsia="Calibri" w:hAnsi="Calibri"/>
          <w:sz w:val="19"/>
          <w:szCs w:val="19"/>
        </w:rPr>
        <w:t xml:space="preserve">Free zone employers file with the zone rather than MOHRE, and DIFC and ADGM apply their own employment codes and end-of-service arrangements. Prune this checklist to the jurisdiction rather than working through steps that do not apply.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Permit categories, registration deadlines, medical and Emirates ID requirements, WPS rules, scheme contribution rates and free zone procedures all change — confirm with MOHRE, ICP, GDRFA or the relevant zone before each hire.</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2026-08-23T16:28:34.958Z</dcterms:created>
  <dcterms:modified xsi:type="dcterms:W3CDTF">2026-08-23T16:28:34.958Z</dcterms:modified>
</cp:coreProperties>
</file>

<file path=docProps/custom.xml><?xml version="1.0" encoding="utf-8"?>
<Properties xmlns="http://schemas.openxmlformats.org/officeDocument/2006/custom-properties" xmlns:vt="http://schemas.openxmlformats.org/officeDocument/2006/docPropsVTypes"/>
</file>