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EMPLOYEE HANDBOOK</w:t>
      </w:r>
    </w:p>
    <w:p>
      <w:pPr>
        <w:spacing w:after="260"/>
        <w:jc w:val="center"/>
      </w:pPr>
      <w:r>
        <w:rPr>
          <w:rFonts w:ascii="Calibri" w:cs="Calibri" w:eastAsia="Calibri" w:hAnsi="Calibri"/>
          <w:i/>
          <w:iCs/>
          <w:color w:val="6E7480"/>
          <w:sz w:val="19"/>
          <w:szCs w:val="19"/>
        </w:rPr>
        <w:t xml:space="preserve">UAE mainland — </w:t>
      </w: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A handbook sets out how things work here. It is </w:t>
      </w:r>
      <w:r>
        <w:rPr>
          <w:rFonts w:ascii="Calibri" w:cs="Calibri" w:eastAsia="Calibri" w:hAnsi="Calibri"/>
          <w:b/>
          <w:bCs/>
          <w:i/>
          <w:iCs/>
          <w:color w:val="6E7480"/>
          <w:sz w:val="21"/>
          <w:szCs w:val="21"/>
        </w:rPr>
        <w:t xml:space="preserve">not</w:t>
      </w:r>
      <w:r>
        <w:rPr>
          <w:rFonts w:ascii="Calibri" w:cs="Calibri" w:eastAsia="Calibri" w:hAnsi="Calibri"/>
          <w:i/>
          <w:iCs/>
          <w:color w:val="6E7480"/>
          <w:sz w:val="21"/>
          <w:szCs w:val="21"/>
        </w:rPr>
        <w:t xml:space="preserve"> the contract, and it should say so — otherwise every policy in it becomes a term the Company cannot change without consent. Where the handbook and the MOHRE registered contract differ, the contract and the Law govern.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Jurisdiction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 Federal Decree-Law 33/2021]</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Applies to</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All employees </w:t>
            </w:r>
            <w:r>
              <w:rPr>
                <w:rFonts w:ascii="Calibri" w:cs="Calibri" w:eastAsia="Calibri" w:hAnsi="Calibri"/>
                <w:b/>
                <w:bCs/>
                <w:sz w:val="19"/>
                <w:szCs w:val="19"/>
              </w:rPr>
              <w:t xml:space="preserve">[, save where a written contract states otherwise]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Status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 contractual</w:t>
            </w:r>
            <w:r>
              <w:rPr>
                <w:rFonts w:ascii="Calibri" w:cs="Calibri" w:eastAsia="Calibri" w:hAnsi="Calibri"/>
                <w:sz w:val="19"/>
                <w:szCs w:val="19"/>
              </w:rPr>
              <w:t xml:space="preserve"> — guidance and policy, save where expressly stated</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Version and date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effective </w:t>
            </w:r>
            <w:r>
              <w:rPr>
                <w:rFonts w:ascii="Calibri" w:cs="Calibri" w:eastAsia="Calibri" w:hAnsi="Calibri"/>
                <w:b/>
                <w:bCs/>
                <w:sz w:val="19"/>
                <w:szCs w:val="19"/>
              </w:rPr>
              <w:t xml:space="preserve">[DATE]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Owner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Language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[English; Arabic version available on request]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Annually</w:t>
            </w:r>
          </w:p>
        </w:tc>
      </w:tr>
    </w:tbl>
    <w:p>
      <w:pPr>
        <w:spacing w:after="180"/>
      </w:pPr>
    </w:p>
    <w:p>
      <w:pPr>
        <w:keepNext/>
        <w:spacing w:after="120" w:before="280"/>
        <w:outlineLvl w:val="0"/>
      </w:pPr>
      <w:r>
        <w:rPr>
          <w:rFonts w:ascii="Calibri" w:cs="Calibri" w:eastAsia="Calibri" w:hAnsi="Calibri"/>
          <w:b/>
          <w:bCs/>
          <w:color w:val="14161B"/>
          <w:sz w:val="22"/>
          <w:szCs w:val="22"/>
        </w:rPr>
        <w:t xml:space="preserve">1. STATUS OF THIS HANDBOOK</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This handbook describes the Company’s policies and how things work day to day.</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b/>
          <w:bCs/>
          <w:sz w:val="21"/>
          <w:szCs w:val="21"/>
        </w:rPr>
        <w:t xml:space="preserve">It does not form part of your contract of employment.</w:t>
      </w:r>
      <w:r>
        <w:rPr>
          <w:rFonts w:ascii="Calibri" w:cs="Calibri" w:eastAsia="Calibri" w:hAnsi="Calibri"/>
          <w:sz w:val="21"/>
          <w:szCs w:val="21"/>
        </w:rPr>
        <w:t xml:space="preserve"> Your terms are in your MOHRE registered employment contract and any supplementary agreement.</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Where this handbook and your contract or the Law differ, </w:t>
      </w:r>
      <w:r>
        <w:rPr>
          <w:rFonts w:ascii="Calibri" w:cs="Calibri" w:eastAsia="Calibri" w:hAnsi="Calibri"/>
          <w:b/>
          <w:bCs/>
          <w:sz w:val="21"/>
          <w:szCs w:val="21"/>
        </w:rPr>
        <w:t xml:space="preserve">the contract and the Law prevail</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The Company may update this handbook. Material changes will be notified.</w:t>
      </w:r>
    </w:p>
    <w:p>
      <w:pPr>
        <w:spacing w:after="120" w:before="60" w:line="276"/>
        <w:ind w:left="720" w:hanging="720"/>
        <w:jc w:val="both"/>
      </w:pPr>
      <w:r>
        <w:rPr>
          <w:rFonts w:ascii="Calibri" w:cs="Calibri" w:eastAsia="Calibri" w:hAnsi="Calibri"/>
          <w:sz w:val="21"/>
          <w:szCs w:val="21"/>
        </w:rPr>
        <w:t xml:space="preserve">1.5	</w:t>
      </w:r>
      <w:r>
        <w:rPr>
          <w:rFonts w:ascii="Calibri" w:cs="Calibri" w:eastAsia="Calibri" w:hAnsi="Calibri"/>
          <w:i/>
          <w:iCs/>
          <w:sz w:val="21"/>
          <w:szCs w:val="21"/>
        </w:rPr>
        <w:t xml:space="preserve">Clause 1.2 matters more than it looks. A handbook expressed as contractual converts every discretionary benefit into a term that cannot be varied without written consent and a MOHRE amendment.</w:t>
      </w:r>
    </w:p>
    <w:p>
      <w:pPr>
        <w:keepNext/>
        <w:spacing w:after="120" w:before="280"/>
        <w:outlineLvl w:val="0"/>
      </w:pPr>
      <w:r>
        <w:rPr>
          <w:rFonts w:ascii="Calibri" w:cs="Calibri" w:eastAsia="Calibri" w:hAnsi="Calibri"/>
          <w:b/>
          <w:bCs/>
          <w:color w:val="14161B"/>
          <w:sz w:val="22"/>
          <w:szCs w:val="22"/>
        </w:rPr>
        <w:t xml:space="preserve">2. WORKING HOURS AND ATTENDANCE</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Normal hours are </w:t>
      </w:r>
      <w:r>
        <w:rPr>
          <w:rFonts w:ascii="Calibri" w:cs="Calibri" w:eastAsia="Calibri" w:hAnsi="Calibri"/>
          <w:b/>
          <w:bCs/>
          <w:sz w:val="21"/>
          <w:szCs w:val="21"/>
        </w:rPr>
        <w:t xml:space="preserve">8 hours per day, 48 hours per week</w:t>
      </w:r>
      <w:r>
        <w:rPr>
          <w:rFonts w:ascii="Calibri" w:cs="Calibri" w:eastAsia="Calibri" w:hAnsi="Calibri"/>
          <w:sz w:val="21"/>
          <w:szCs w:val="21"/>
        </w:rPr>
        <w:t xml:space="preserve">, worked </w:t>
      </w:r>
      <w:r>
        <w:rPr>
          <w:rFonts w:ascii="Calibri" w:cs="Calibri" w:eastAsia="Calibri" w:hAnsi="Calibri"/>
          <w:b/>
          <w:bCs/>
          <w:sz w:val="21"/>
          <w:szCs w:val="21"/>
        </w:rPr>
        <w:t xml:space="preserve">[DAYS]</w:t>
      </w:r>
      <w:r>
        <w:rPr>
          <w:rFonts w:ascii="Calibri" w:cs="Calibri" w:eastAsia="Calibri" w:hAnsi="Calibri"/>
          <w:sz w:val="21"/>
          <w:szCs w:val="21"/>
        </w:rPr>
        <w:t xml:space="preserve">, from </w:t>
      </w:r>
      <w:r>
        <w:rPr>
          <w:rFonts w:ascii="Calibri" w:cs="Calibri" w:eastAsia="Calibri" w:hAnsi="Calibri"/>
          <w:b/>
          <w:bCs/>
          <w:sz w:val="21"/>
          <w:szCs w:val="21"/>
        </w:rPr>
        <w:t xml:space="preserve">[TIME]</w:t>
      </w:r>
      <w:r>
        <w:rPr>
          <w:rFonts w:ascii="Calibri" w:cs="Calibri" w:eastAsia="Calibri" w:hAnsi="Calibri"/>
          <w:sz w:val="21"/>
          <w:szCs w:val="21"/>
        </w:rPr>
        <w:t xml:space="preserve"> to </w:t>
      </w:r>
      <w:r>
        <w:rPr>
          <w:rFonts w:ascii="Calibri" w:cs="Calibri" w:eastAsia="Calibri" w:hAnsi="Calibri"/>
          <w:b/>
          <w:bCs/>
          <w:sz w:val="21"/>
          <w:szCs w:val="21"/>
        </w:rPr>
        <w:t xml:space="preserve">[TIME]</w:t>
      </w:r>
      <w:r>
        <w:rPr>
          <w:rFonts w:ascii="Calibri" w:cs="Calibri" w:eastAsia="Calibri" w:hAnsi="Calibri"/>
          <w:sz w:val="21"/>
          <w:szCs w:val="21"/>
        </w:rPr>
        <w:t xml:space="preserve">, with a break of </w:t>
      </w:r>
      <w:r>
        <w:rPr>
          <w:rFonts w:ascii="Calibri" w:cs="Calibri" w:eastAsia="Calibri" w:hAnsi="Calibri"/>
          <w:b/>
          <w:bCs/>
          <w:sz w:val="21"/>
          <w:szCs w:val="21"/>
        </w:rPr>
        <w:t xml:space="preserve">[PERIOD]</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b/>
          <w:bCs/>
          <w:sz w:val="21"/>
          <w:szCs w:val="21"/>
        </w:rPr>
        <w:t xml:space="preserve">Ramadan.</w:t>
      </w:r>
      <w:r>
        <w:rPr>
          <w:rFonts w:ascii="Calibri" w:cs="Calibri" w:eastAsia="Calibri" w:hAnsi="Calibri"/>
          <w:sz w:val="21"/>
          <w:szCs w:val="21"/>
        </w:rPr>
        <w:t xml:space="preserve"> Working hours are reduced for fasting employees in accordance with the Law. </w:t>
      </w:r>
      <w:r>
        <w:rPr>
          <w:rFonts w:ascii="Calibri" w:cs="Calibri" w:eastAsia="Calibri" w:hAnsi="Calibri"/>
          <w:b/>
          <w:bCs/>
          <w:sz w:val="21"/>
          <w:szCs w:val="21"/>
        </w:rPr>
        <w:t xml:space="preserve">[The Company applies the reduction to all employees.]</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b/>
          <w:bCs/>
          <w:sz w:val="21"/>
          <w:szCs w:val="21"/>
        </w:rPr>
        <w:t xml:space="preserve">Midday work ban.</w:t>
      </w:r>
      <w:r>
        <w:rPr>
          <w:rFonts w:ascii="Calibri" w:cs="Calibri" w:eastAsia="Calibri" w:hAnsi="Calibri"/>
          <w:sz w:val="21"/>
          <w:szCs w:val="21"/>
        </w:rPr>
        <w:t xml:space="preserve"> Outdoor work is prohibited during the prescribed afternoon hours in the summer months. This applies regardless of an employee’s willingness to work.</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Overtime worked at the Company’s request is compensated in accordance with the Law. </w:t>
      </w:r>
      <w:r>
        <w:rPr>
          <w:rFonts w:ascii="Calibri" w:cs="Calibri" w:eastAsia="Calibri" w:hAnsi="Calibri"/>
          <w:b/>
          <w:bCs/>
          <w:sz w:val="21"/>
          <w:szCs w:val="21"/>
        </w:rPr>
        <w:t xml:space="preserve">Overtime must be authorised in advance</w:t>
      </w:r>
      <w:r>
        <w:rPr>
          <w:rFonts w:ascii="Calibri" w:cs="Calibri" w:eastAsia="Calibri" w:hAnsi="Calibri"/>
          <w:sz w:val="21"/>
          <w:szCs w:val="21"/>
        </w:rPr>
        <w:t xml:space="preserve"> by </w:t>
      </w:r>
      <w:r>
        <w:rPr>
          <w:rFonts w:ascii="Calibri" w:cs="Calibri" w:eastAsia="Calibri" w:hAnsi="Calibri"/>
          <w:b/>
          <w:bCs/>
          <w:sz w:val="21"/>
          <w:szCs w:val="21"/>
        </w:rPr>
        <w:t xml:space="preserve">[ROLE]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Employees are entitled to at least one rest day per week and to the gazetted public holidays.</w:t>
      </w:r>
    </w:p>
    <w:p>
      <w:pPr>
        <w:spacing w:after="120" w:before="60" w:line="276"/>
        <w:ind w:left="720" w:hanging="720"/>
        <w:jc w:val="both"/>
      </w:pPr>
      <w:r>
        <w:rPr>
          <w:rFonts w:ascii="Calibri" w:cs="Calibri" w:eastAsia="Calibri" w:hAnsi="Calibri"/>
          <w:sz w:val="21"/>
          <w:szCs w:val="21"/>
        </w:rPr>
        <w:t xml:space="preserve">2.6	</w:t>
      </w:r>
      <w:r>
        <w:rPr>
          <w:rFonts w:ascii="Calibri" w:cs="Calibri" w:eastAsia="Calibri" w:hAnsi="Calibri"/>
          <w:b/>
          <w:bCs/>
          <w:sz w:val="21"/>
          <w:szCs w:val="21"/>
        </w:rPr>
        <w:t xml:space="preserve">[Where flexible models apply]</w:t>
      </w:r>
      <w:r>
        <w:rPr>
          <w:rFonts w:ascii="Calibri" w:cs="Calibri" w:eastAsia="Calibri" w:hAnsi="Calibri"/>
          <w:sz w:val="21"/>
          <w:szCs w:val="21"/>
        </w:rPr>
        <w:t xml:space="preserve"> The Company offers </w:t>
      </w:r>
      <w:r>
        <w:rPr>
          <w:rFonts w:ascii="Calibri" w:cs="Calibri" w:eastAsia="Calibri" w:hAnsi="Calibri"/>
          <w:b/>
          <w:bCs/>
          <w:sz w:val="21"/>
          <w:szCs w:val="21"/>
        </w:rPr>
        <w:t xml:space="preserve">[part-time / flexible / remote]</w:t>
      </w:r>
      <w:r>
        <w:rPr>
          <w:rFonts w:ascii="Calibri" w:cs="Calibri" w:eastAsia="Calibri" w:hAnsi="Calibri"/>
          <w:sz w:val="21"/>
          <w:szCs w:val="21"/>
        </w:rPr>
        <w:t xml:space="preserve"> working arrangements under the permitted work models. Requests are made to </w:t>
      </w:r>
      <w:r>
        <w:rPr>
          <w:rFonts w:ascii="Calibri" w:cs="Calibri" w:eastAsia="Calibri" w:hAnsi="Calibri"/>
          <w:b/>
          <w:bCs/>
          <w:sz w:val="21"/>
          <w:szCs w:val="21"/>
        </w:rPr>
        <w:t xml:space="preserve">[ROLE]</w:t>
      </w:r>
      <w:r>
        <w:rPr>
          <w:rFonts w:ascii="Calibri" w:cs="Calibri" w:eastAsia="Calibri" w:hAnsi="Calibri"/>
          <w:sz w:val="21"/>
          <w:szCs w:val="21"/>
        </w:rPr>
        <w:t xml:space="preserve"> and considered on the business need.</w:t>
      </w:r>
    </w:p>
    <w:p>
      <w:pPr>
        <w:keepNext/>
        <w:spacing w:after="120" w:before="280"/>
        <w:outlineLvl w:val="0"/>
      </w:pPr>
      <w:r>
        <w:rPr>
          <w:rFonts w:ascii="Calibri" w:cs="Calibri" w:eastAsia="Calibri" w:hAnsi="Calibri"/>
          <w:b/>
          <w:bCs/>
          <w:color w:val="14161B"/>
          <w:sz w:val="22"/>
          <w:szCs w:val="22"/>
        </w:rPr>
        <w:t xml:space="preserve">3. LEAVE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927"/>
        <w:gridCol w:w="5011"/>
        <w:gridCol w:w="2700"/>
      </w:tblGrid>
      <w:tr>
        <w:trPr>
          <w:cantSplit/>
          <w:tblHeader/>
        </w:trPr>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Type</w:t>
            </w:r>
          </w:p>
        </w:tc>
        <w:tc>
          <w:tcPr>
            <w:tcW w:type="dxa" w:w="50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Entitlement</w:t>
            </w:r>
          </w:p>
        </w:tc>
        <w:tc>
          <w:tcPr>
            <w:tcW w:type="dxa" w:w="270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How to request</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Annual leave</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30 calendar days</w:t>
            </w:r>
            <w:r>
              <w:rPr>
                <w:rFonts w:ascii="Calibri" w:cs="Calibri" w:eastAsia="Calibri" w:hAnsi="Calibri"/>
                <w:sz w:val="17"/>
                <w:szCs w:val="17"/>
              </w:rPr>
              <w:t xml:space="preserve"> per year after one year; 2 days per month between six months and one year. Accrues from day one</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Through </w:t>
            </w:r>
            <w:r>
              <w:rPr>
                <w:rFonts w:ascii="Calibri" w:cs="Calibri" w:eastAsia="Calibri" w:hAnsi="Calibri"/>
                <w:b/>
                <w:bCs/>
                <w:sz w:val="17"/>
                <w:szCs w:val="17"/>
              </w:rPr>
              <w:t xml:space="preserve">[SYSTEM]</w:t>
            </w:r>
            <w:r>
              <w:rPr>
                <w:rFonts w:ascii="Calibri" w:cs="Calibri" w:eastAsia="Calibri" w:hAnsi="Calibri"/>
                <w:sz w:val="17"/>
                <w:szCs w:val="17"/>
              </w:rPr>
              <w:t xml:space="preserve">, at least </w:t>
            </w:r>
            <w:r>
              <w:rPr>
                <w:rFonts w:ascii="Calibri" w:cs="Calibri" w:eastAsia="Calibri" w:hAnsi="Calibri"/>
                <w:b/>
                <w:bCs/>
                <w:sz w:val="17"/>
                <w:szCs w:val="17"/>
              </w:rPr>
              <w:t xml:space="preserve">[14]</w:t>
            </w:r>
            <w:r>
              <w:rPr>
                <w:rFonts w:ascii="Calibri" w:cs="Calibri" w:eastAsia="Calibri" w:hAnsi="Calibri"/>
                <w:sz w:val="17"/>
                <w:szCs w:val="17"/>
              </w:rPr>
              <w:t xml:space="preserve"> days ahead</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Public holidays</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 gazetted</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Automatic</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Sick leave</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Up to </w:t>
            </w:r>
            <w:r>
              <w:rPr>
                <w:rFonts w:ascii="Calibri" w:cs="Calibri" w:eastAsia="Calibri" w:hAnsi="Calibri"/>
                <w:b/>
                <w:bCs/>
                <w:sz w:val="17"/>
                <w:szCs w:val="17"/>
              </w:rPr>
              <w:t xml:space="preserve">90 days</w:t>
            </w:r>
            <w:r>
              <w:rPr>
                <w:rFonts w:ascii="Calibri" w:cs="Calibri" w:eastAsia="Calibri" w:hAnsi="Calibri"/>
                <w:sz w:val="17"/>
                <w:szCs w:val="17"/>
              </w:rPr>
              <w:t xml:space="preserve"> per year after probation — first 15 full pay, next 30 half pay, remainder unpaid</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Notify </w:t>
            </w:r>
            <w:r>
              <w:rPr>
                <w:rFonts w:ascii="Calibri" w:cs="Calibri" w:eastAsia="Calibri" w:hAnsi="Calibri"/>
                <w:b/>
                <w:bCs/>
                <w:sz w:val="17"/>
                <w:szCs w:val="17"/>
              </w:rPr>
              <w:t xml:space="preserve">[ROLE]</w:t>
            </w:r>
            <w:r>
              <w:rPr>
                <w:rFonts w:ascii="Calibri" w:cs="Calibri" w:eastAsia="Calibri" w:hAnsi="Calibri"/>
                <w:sz w:val="17"/>
                <w:szCs w:val="17"/>
              </w:rPr>
              <w:t xml:space="preserve"> within </w:t>
            </w:r>
            <w:r>
              <w:rPr>
                <w:rFonts w:ascii="Calibri" w:cs="Calibri" w:eastAsia="Calibri" w:hAnsi="Calibri"/>
                <w:b/>
                <w:bCs/>
                <w:sz w:val="17"/>
                <w:szCs w:val="17"/>
              </w:rPr>
              <w:t xml:space="preserve">[3]</w:t>
            </w:r>
            <w:r>
              <w:rPr>
                <w:rFonts w:ascii="Calibri" w:cs="Calibri" w:eastAsia="Calibri" w:hAnsi="Calibri"/>
                <w:sz w:val="17"/>
                <w:szCs w:val="17"/>
              </w:rPr>
              <w:t xml:space="preserve"> days with a medical certificate</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Maternity leave</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60 days</w:t>
            </w:r>
            <w:r>
              <w:rPr>
                <w:rFonts w:ascii="Calibri" w:cs="Calibri" w:eastAsia="Calibri" w:hAnsi="Calibri"/>
                <w:sz w:val="17"/>
                <w:szCs w:val="17"/>
              </w:rPr>
              <w:t xml:space="preserve"> — 45 full pay, 15 half pay, with further unpaid entitlement in defined circumstances</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Notify </w:t>
            </w:r>
            <w:r>
              <w:rPr>
                <w:rFonts w:ascii="Calibri" w:cs="Calibri" w:eastAsia="Calibri" w:hAnsi="Calibri"/>
                <w:b/>
                <w:bCs/>
                <w:sz w:val="17"/>
                <w:szCs w:val="17"/>
              </w:rPr>
              <w:t xml:space="preserve">[ROLE]</w:t>
            </w:r>
            <w:r>
              <w:rPr>
                <w:rFonts w:ascii="Calibri" w:cs="Calibri" w:eastAsia="Calibri" w:hAnsi="Calibri"/>
                <w:sz w:val="17"/>
                <w:szCs w:val="17"/>
              </w:rPr>
              <w:t xml:space="preserve"> as early as practicable</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Parental leave</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5 working days</w:t>
            </w:r>
            <w:r>
              <w:rPr>
                <w:rFonts w:ascii="Calibri" w:cs="Calibri" w:eastAsia="Calibri" w:hAnsi="Calibri"/>
                <w:sz w:val="17"/>
                <w:szCs w:val="17"/>
              </w:rPr>
              <w:t xml:space="preserve"> for either parent within six months of the birth</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Notify </w:t>
            </w:r>
            <w:r>
              <w:rPr>
                <w:rFonts w:ascii="Calibri" w:cs="Calibri" w:eastAsia="Calibri" w:hAnsi="Calibri"/>
                <w:b/>
                <w:bCs/>
                <w:sz w:val="17"/>
                <w:szCs w:val="17"/>
              </w:rPr>
              <w:t xml:space="preserve">[ROLE]</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Bereavement leave</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[3–5]</w:t>
            </w:r>
            <w:r>
              <w:rPr>
                <w:rFonts w:ascii="Calibri" w:cs="Calibri" w:eastAsia="Calibri" w:hAnsi="Calibri"/>
                <w:sz w:val="17"/>
                <w:szCs w:val="17"/>
              </w:rPr>
              <w:t xml:space="preserve"> days depending on relationship</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Notify </w:t>
            </w:r>
            <w:r>
              <w:rPr>
                <w:rFonts w:ascii="Calibri" w:cs="Calibri" w:eastAsia="Calibri" w:hAnsi="Calibri"/>
                <w:b/>
                <w:bCs/>
                <w:sz w:val="17"/>
                <w:szCs w:val="17"/>
              </w:rPr>
              <w:t xml:space="preserve">[ROLE]</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Study leave</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 days per year for employees at an accredited UAE institution, subject to service</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Apply to </w:t>
            </w:r>
            <w:r>
              <w:rPr>
                <w:rFonts w:ascii="Calibri" w:cs="Calibri" w:eastAsia="Calibri" w:hAnsi="Calibri"/>
                <w:b/>
                <w:bCs/>
                <w:sz w:val="17"/>
                <w:szCs w:val="17"/>
              </w:rPr>
              <w:t xml:space="preserve">[ROLE]</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Hajj leave</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Unpaid, once during service, up to 30 days</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Apply to </w:t>
            </w:r>
            <w:r>
              <w:rPr>
                <w:rFonts w:ascii="Calibri" w:cs="Calibri" w:eastAsia="Calibri" w:hAnsi="Calibri"/>
                <w:b/>
                <w:bCs/>
                <w:sz w:val="17"/>
                <w:szCs w:val="17"/>
              </w:rPr>
              <w:t xml:space="preserve">[ROLE]</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[Compassionate / other]</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[Contractual, not statutory]</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Untaken annual leave is paid on termination as the Law requires. Carry-forward and encashment during employment are </w:t>
      </w:r>
      <w:r>
        <w:rPr>
          <w:rFonts w:ascii="Calibri" w:cs="Calibri" w:eastAsia="Calibri" w:hAnsi="Calibri"/>
          <w:b/>
          <w:bCs/>
          <w:sz w:val="21"/>
          <w:szCs w:val="21"/>
        </w:rPr>
        <w:t xml:space="preserve">[permitted as agreed / not permitted]</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4. PAY</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Salary is paid monthly in arrears through the </w:t>
      </w:r>
      <w:r>
        <w:rPr>
          <w:rFonts w:ascii="Calibri" w:cs="Calibri" w:eastAsia="Calibri" w:hAnsi="Calibri"/>
          <w:b/>
          <w:bCs/>
          <w:sz w:val="21"/>
          <w:szCs w:val="21"/>
        </w:rPr>
        <w:t xml:space="preserve">Wage Protection System</w:t>
      </w:r>
      <w:r>
        <w:rPr>
          <w:rFonts w:ascii="Calibri" w:cs="Calibri" w:eastAsia="Calibri" w:hAnsi="Calibri"/>
          <w:sz w:val="21"/>
          <w:szCs w:val="21"/>
        </w:rPr>
        <w:t xml:space="preserve">, in dirhams, to your own account.</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salary paid is the salary </w:t>
      </w:r>
      <w:r>
        <w:rPr>
          <w:rFonts w:ascii="Calibri" w:cs="Calibri" w:eastAsia="Calibri" w:hAnsi="Calibri"/>
          <w:b/>
          <w:bCs/>
          <w:sz w:val="21"/>
          <w:szCs w:val="21"/>
        </w:rPr>
        <w:t xml:space="preserve">registered with MOHRE</w:t>
      </w:r>
      <w:r>
        <w:rPr>
          <w:rFonts w:ascii="Calibri" w:cs="Calibri" w:eastAsia="Calibri" w:hAnsi="Calibri"/>
          <w:sz w:val="21"/>
          <w:szCs w:val="21"/>
        </w:rPr>
        <w:t xml:space="preserve">. Any change requires your written consent and a formal amendment through the ministry.</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Deductions are limited to those the Law permits and to the statutory proportion of salary.</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b/>
          <w:bCs/>
          <w:sz w:val="21"/>
          <w:szCs w:val="21"/>
        </w:rPr>
        <w:t xml:space="preserve">The Company does not recover from you</w:t>
      </w:r>
      <w:r>
        <w:rPr>
          <w:rFonts w:ascii="Calibri" w:cs="Calibri" w:eastAsia="Calibri" w:hAnsi="Calibri"/>
          <w:sz w:val="21"/>
          <w:szCs w:val="21"/>
        </w:rPr>
        <w:t xml:space="preserve"> the cost of your work permit, visa, medical test, Emirates ID or recruitment. These are Company costs by law.</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Expenses are reimbursed on production of receipts, within the limits in </w:t>
      </w:r>
      <w:r>
        <w:rPr>
          <w:rFonts w:ascii="Calibri" w:cs="Calibri" w:eastAsia="Calibri" w:hAnsi="Calibri"/>
          <w:b/>
          <w:bCs/>
          <w:sz w:val="21"/>
          <w:szCs w:val="21"/>
        </w:rPr>
        <w:t xml:space="preserve">[POLICY]</w:t>
      </w:r>
      <w:r>
        <w:rPr>
          <w:rFonts w:ascii="Calibri" w:cs="Calibri" w:eastAsia="Calibri" w:hAnsi="Calibri"/>
          <w:sz w:val="21"/>
          <w:szCs w:val="21"/>
        </w:rPr>
        <w:t xml:space="preserve">.</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CONDUCT</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Employees are expected to act with integrity, treat colleagues and clients with respect, follow lawful instructions, and comply with Company policies and UAE law.</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b/>
          <w:bCs/>
          <w:sz w:val="21"/>
          <w:szCs w:val="21"/>
        </w:rPr>
        <w:t xml:space="preserve">Respect for local law and custom.</w:t>
      </w:r>
      <w:r>
        <w:rPr>
          <w:rFonts w:ascii="Calibri" w:cs="Calibri" w:eastAsia="Calibri" w:hAnsi="Calibri"/>
          <w:sz w:val="21"/>
          <w:szCs w:val="21"/>
        </w:rPr>
        <w:t xml:space="preserve"> The UAE has laws and customs which employees are expected to observe, including in public conduct, dress and behaviour, and on social media. Conduct outside work that breaches UAE law can affect your employment and your residence status.</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b/>
          <w:bCs/>
          <w:sz w:val="21"/>
          <w:szCs w:val="21"/>
        </w:rPr>
        <w:t xml:space="preserve">Anti-discrimination and harassment.</w:t>
      </w:r>
      <w:r>
        <w:rPr>
          <w:rFonts w:ascii="Calibri" w:cs="Calibri" w:eastAsia="Calibri" w:hAnsi="Calibri"/>
          <w:sz w:val="21"/>
          <w:szCs w:val="21"/>
        </w:rPr>
        <w:t xml:space="preserve"> The Company does not tolerate discrimination or harassment on any ground protected by the Law. Concerns should be raised under Section 7.</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b/>
          <w:bCs/>
          <w:sz w:val="21"/>
          <w:szCs w:val="21"/>
        </w:rPr>
        <w:t xml:space="preserve">Conflicts of interest</w:t>
      </w:r>
      <w:r>
        <w:rPr>
          <w:rFonts w:ascii="Calibri" w:cs="Calibri" w:eastAsia="Calibri" w:hAnsi="Calibri"/>
          <w:sz w:val="21"/>
          <w:szCs w:val="21"/>
        </w:rPr>
        <w:t xml:space="preserve"> must be disclosed to </w:t>
      </w:r>
      <w:r>
        <w:rPr>
          <w:rFonts w:ascii="Calibri" w:cs="Calibri" w:eastAsia="Calibri" w:hAnsi="Calibri"/>
          <w:b/>
          <w:bCs/>
          <w:sz w:val="21"/>
          <w:szCs w:val="21"/>
        </w:rPr>
        <w:t xml:space="preserve">[ROLE]</w:t>
      </w:r>
      <w:r>
        <w:rPr>
          <w:rFonts w:ascii="Calibri" w:cs="Calibri" w:eastAsia="Calibri" w:hAnsi="Calibri"/>
          <w:sz w:val="21"/>
          <w:szCs w:val="21"/>
        </w:rPr>
        <w:t xml:space="preserve"> in writing.</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Employees shall not work for another employer without the Company’s written consent and the appropriate permit.</w:t>
      </w:r>
    </w:p>
    <w:p>
      <w:pPr>
        <w:spacing w:after="120" w:before="60" w:line="276"/>
        <w:ind w:left="720" w:hanging="720"/>
        <w:jc w:val="both"/>
      </w:pPr>
      <w:r>
        <w:rPr>
          <w:rFonts w:ascii="Calibri" w:cs="Calibri" w:eastAsia="Calibri" w:hAnsi="Calibri"/>
          <w:sz w:val="21"/>
          <w:szCs w:val="21"/>
        </w:rPr>
        <w:t xml:space="preserve">5.6	</w:t>
      </w:r>
      <w:r>
        <w:rPr>
          <w:rFonts w:ascii="Calibri" w:cs="Calibri" w:eastAsia="Calibri" w:hAnsi="Calibri"/>
          <w:b/>
          <w:bCs/>
          <w:sz w:val="21"/>
          <w:szCs w:val="21"/>
        </w:rPr>
        <w:t xml:space="preserve">Confidentiality.</w:t>
      </w:r>
      <w:r>
        <w:rPr>
          <w:rFonts w:ascii="Calibri" w:cs="Calibri" w:eastAsia="Calibri" w:hAnsi="Calibri"/>
          <w:sz w:val="21"/>
          <w:szCs w:val="21"/>
        </w:rPr>
        <w:t xml:space="preserve"> Company and client information must be kept confidential during and after employment.</w:t>
      </w:r>
    </w:p>
    <w:p>
      <w:pPr>
        <w:spacing w:after="120" w:before="60" w:line="276"/>
        <w:ind w:left="720" w:hanging="720"/>
        <w:jc w:val="both"/>
      </w:pPr>
      <w:r>
        <w:rPr>
          <w:rFonts w:ascii="Calibri" w:cs="Calibri" w:eastAsia="Calibri" w:hAnsi="Calibri"/>
          <w:sz w:val="21"/>
          <w:szCs w:val="21"/>
        </w:rPr>
        <w:t xml:space="preserve">5.7	</w:t>
      </w:r>
      <w:r>
        <w:rPr>
          <w:rFonts w:ascii="Calibri" w:cs="Calibri" w:eastAsia="Calibri" w:hAnsi="Calibri"/>
          <w:b/>
          <w:bCs/>
          <w:sz w:val="21"/>
          <w:szCs w:val="21"/>
        </w:rPr>
        <w:t xml:space="preserve">Data protection.</w:t>
      </w:r>
      <w:r>
        <w:rPr>
          <w:rFonts w:ascii="Calibri" w:cs="Calibri" w:eastAsia="Calibri" w:hAnsi="Calibri"/>
          <w:sz w:val="21"/>
          <w:szCs w:val="21"/>
        </w:rPr>
        <w:t xml:space="preserve"> Personal data must be handled in accordance with the Company’s data protection policy. Report any suspected data breach immediately to </w:t>
      </w:r>
      <w:r>
        <w:rPr>
          <w:rFonts w:ascii="Calibri" w:cs="Calibri" w:eastAsia="Calibri" w:hAnsi="Calibri"/>
          <w:b/>
          <w:bCs/>
          <w:sz w:val="21"/>
          <w:szCs w:val="21"/>
        </w:rPr>
        <w:t xml:space="preserve">[ROLE]</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6. DISCIPLINE</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Where conduct or performance falls short, the Company will investigate, put the concern to the employee, and give them a genuine opportunity to respond before deciding.</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b/>
          <w:bCs/>
          <w:sz w:val="21"/>
          <w:szCs w:val="21"/>
        </w:rPr>
        <w:t xml:space="preserve">Disciplinary penalties are limited to those the Law permits.</w:t>
      </w:r>
      <w:r>
        <w:rPr>
          <w:rFonts w:ascii="Calibri" w:cs="Calibri" w:eastAsia="Calibri" w:hAnsi="Calibri"/>
          <w:sz w:val="21"/>
          <w:szCs w:val="21"/>
        </w:rPr>
        <w:t xml:space="preserve"> The Company will not impose a penalty outside that list.</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Termination without notice is available only on a ground the Law specifies, and only after the required investigation.</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An employee may be suspended on the terms the Law permits pending investigation.</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i/>
          <w:iCs/>
          <w:sz w:val="21"/>
          <w:szCs w:val="21"/>
        </w:rPr>
        <w:t xml:space="preserve">The list of permitted penalties is statutory and closed. Employers who invent a sanction — an unpaid suspension, a pay cut, a withheld allowance — create a claim even where the underlying misconduct was genuine.</w:t>
      </w:r>
    </w:p>
    <w:p>
      <w:pPr>
        <w:keepNext/>
        <w:spacing w:after="120" w:before="280"/>
        <w:outlineLvl w:val="0"/>
      </w:pPr>
      <w:r>
        <w:rPr>
          <w:rFonts w:ascii="Calibri" w:cs="Calibri" w:eastAsia="Calibri" w:hAnsi="Calibri"/>
          <w:b/>
          <w:bCs/>
          <w:color w:val="14161B"/>
          <w:sz w:val="22"/>
          <w:szCs w:val="22"/>
        </w:rPr>
        <w:t xml:space="preserve">7. RAISING A CONCERN</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Raise concerns with your manager first, or with </w:t>
      </w:r>
      <w:r>
        <w:rPr>
          <w:rFonts w:ascii="Calibri" w:cs="Calibri" w:eastAsia="Calibri" w:hAnsi="Calibri"/>
          <w:b/>
          <w:bCs/>
          <w:sz w:val="21"/>
          <w:szCs w:val="21"/>
        </w:rPr>
        <w:t xml:space="preserve">[ROLE]</w:t>
      </w:r>
      <w:r>
        <w:rPr>
          <w:rFonts w:ascii="Calibri" w:cs="Calibri" w:eastAsia="Calibri" w:hAnsi="Calibri"/>
          <w:sz w:val="21"/>
          <w:szCs w:val="21"/>
        </w:rPr>
        <w:t xml:space="preserve"> if that is not appropriate.</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Concerns will be acknowledged within </w:t>
      </w:r>
      <w:r>
        <w:rPr>
          <w:rFonts w:ascii="Calibri" w:cs="Calibri" w:eastAsia="Calibri" w:hAnsi="Calibri"/>
          <w:b/>
          <w:bCs/>
          <w:sz w:val="21"/>
          <w:szCs w:val="21"/>
        </w:rPr>
        <w:t xml:space="preserve">[3]</w:t>
      </w:r>
      <w:r>
        <w:rPr>
          <w:rFonts w:ascii="Calibri" w:cs="Calibri" w:eastAsia="Calibri" w:hAnsi="Calibri"/>
          <w:b/>
          <w:bCs/>
          <w:sz w:val="21"/>
          <w:szCs w:val="21"/>
        </w:rPr>
        <w:t xml:space="preserve"> working days</w:t>
      </w:r>
      <w:r>
        <w:rPr>
          <w:rFonts w:ascii="Calibri" w:cs="Calibri" w:eastAsia="Calibri" w:hAnsi="Calibri"/>
          <w:sz w:val="21"/>
          <w:szCs w:val="21"/>
        </w:rPr>
        <w:t xml:space="preserve"> and investigated fairly.</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The Company will not retaliate against an employee for raising a genuine concern. </w:t>
      </w:r>
      <w:r>
        <w:rPr>
          <w:rFonts w:ascii="Calibri" w:cs="Calibri" w:eastAsia="Calibri" w:hAnsi="Calibri"/>
          <w:b/>
          <w:bCs/>
          <w:sz w:val="21"/>
          <w:szCs w:val="21"/>
        </w:rPr>
        <w:t xml:space="preserve">Dismissal because an employee filed a legitimate complaint may amount to arbitrary dismissal.</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Employees may also refer an unresolved employment dispute to </w:t>
      </w:r>
      <w:r>
        <w:rPr>
          <w:rFonts w:ascii="Calibri" w:cs="Calibri" w:eastAsia="Calibri" w:hAnsi="Calibri"/>
          <w:b/>
          <w:bCs/>
          <w:sz w:val="21"/>
          <w:szCs w:val="21"/>
        </w:rPr>
        <w:t xml:space="preserve">MOHRE</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8. HEALTH, SAFETY AND INSURANCE</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The Company provides a safe workplace, appropriate training and any required protective equipment.</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Work injuries must be reported immediately to </w:t>
      </w:r>
      <w:r>
        <w:rPr>
          <w:rFonts w:ascii="Calibri" w:cs="Calibri" w:eastAsia="Calibri" w:hAnsi="Calibri"/>
          <w:b/>
          <w:bCs/>
          <w:sz w:val="21"/>
          <w:szCs w:val="21"/>
        </w:rPr>
        <w:t xml:space="preserve">[ROLE]</w:t>
      </w:r>
      <w:r>
        <w:rPr>
          <w:rFonts w:ascii="Calibri" w:cs="Calibri" w:eastAsia="Calibri" w:hAnsi="Calibri"/>
          <w:sz w:val="21"/>
          <w:szCs w:val="21"/>
        </w:rPr>
        <w:t xml:space="preserve"> and are notified to the authorities as required.</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The Company provides </w:t>
      </w:r>
      <w:r>
        <w:rPr>
          <w:rFonts w:ascii="Calibri" w:cs="Calibri" w:eastAsia="Calibri" w:hAnsi="Calibri"/>
          <w:b/>
          <w:bCs/>
          <w:sz w:val="21"/>
          <w:szCs w:val="21"/>
        </w:rPr>
        <w:t xml:space="preserve">health insurance</w:t>
      </w:r>
      <w:r>
        <w:rPr>
          <w:rFonts w:ascii="Calibri" w:cs="Calibri" w:eastAsia="Calibri" w:hAnsi="Calibri"/>
          <w:sz w:val="21"/>
          <w:szCs w:val="21"/>
        </w:rPr>
        <w:t xml:space="preserve"> as required in this emirate. Cover details are in </w:t>
      </w:r>
      <w:r>
        <w:rPr>
          <w:rFonts w:ascii="Calibri" w:cs="Calibri" w:eastAsia="Calibri" w:hAnsi="Calibri"/>
          <w:b/>
          <w:bCs/>
          <w:sz w:val="21"/>
          <w:szCs w:val="21"/>
        </w:rPr>
        <w:t xml:space="preserve">[DOCUMENT]</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Employees are responsible for their own </w:t>
      </w:r>
      <w:r>
        <w:rPr>
          <w:rFonts w:ascii="Calibri" w:cs="Calibri" w:eastAsia="Calibri" w:hAnsi="Calibri"/>
          <w:b/>
          <w:bCs/>
          <w:sz w:val="21"/>
          <w:szCs w:val="21"/>
        </w:rPr>
        <w:t xml:space="preserve">ILOE unemployment insurance</w:t>
      </w:r>
      <w:r>
        <w:rPr>
          <w:rFonts w:ascii="Calibri" w:cs="Calibri" w:eastAsia="Calibri" w:hAnsi="Calibri"/>
          <w:sz w:val="21"/>
          <w:szCs w:val="21"/>
        </w:rPr>
        <w:t xml:space="preserve"> subscription. Failure to subscribe attracts a fine and can block a future work permit.</w:t>
      </w:r>
    </w:p>
    <w:p>
      <w:pPr>
        <w:keepNext/>
        <w:spacing w:after="120" w:before="280"/>
        <w:outlineLvl w:val="0"/>
      </w:pPr>
      <w:r>
        <w:rPr>
          <w:rFonts w:ascii="Calibri" w:cs="Calibri" w:eastAsia="Calibri" w:hAnsi="Calibri"/>
          <w:b/>
          <w:bCs/>
          <w:color w:val="14161B"/>
          <w:sz w:val="22"/>
          <w:szCs w:val="22"/>
        </w:rPr>
        <w:t xml:space="preserve">9. LEAVING</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Notice is as stated in your contract, </w:t>
      </w:r>
      <w:r>
        <w:rPr>
          <w:rFonts w:ascii="Calibri" w:cs="Calibri" w:eastAsia="Calibri" w:hAnsi="Calibri"/>
          <w:b/>
          <w:bCs/>
          <w:sz w:val="21"/>
          <w:szCs w:val="21"/>
        </w:rPr>
        <w:t xml:space="preserve">[30–90]</w:t>
      </w:r>
      <w:r>
        <w:rPr>
          <w:rFonts w:ascii="Calibri" w:cs="Calibri" w:eastAsia="Calibri" w:hAnsi="Calibri"/>
          <w:b/>
          <w:bCs/>
          <w:sz w:val="21"/>
          <w:szCs w:val="21"/>
        </w:rPr>
        <w:t xml:space="preserve"> days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On leaving, the Company will pay all sums due — salary, untaken leave, any notice payment and </w:t>
      </w:r>
      <w:r>
        <w:rPr>
          <w:rFonts w:ascii="Calibri" w:cs="Calibri" w:eastAsia="Calibri" w:hAnsi="Calibri"/>
          <w:b/>
          <w:bCs/>
          <w:sz w:val="21"/>
          <w:szCs w:val="21"/>
        </w:rPr>
        <w:t xml:space="preserve">end-of-service gratuity</w:t>
      </w:r>
      <w:r>
        <w:rPr>
          <w:rFonts w:ascii="Calibri" w:cs="Calibri" w:eastAsia="Calibri" w:hAnsi="Calibri"/>
          <w:sz w:val="21"/>
          <w:szCs w:val="21"/>
        </w:rPr>
        <w:t xml:space="preserve"> — </w:t>
      </w:r>
      <w:r>
        <w:rPr>
          <w:rFonts w:ascii="Calibri" w:cs="Calibri" w:eastAsia="Calibri" w:hAnsi="Calibri"/>
          <w:b/>
          <w:bCs/>
          <w:sz w:val="21"/>
          <w:szCs w:val="21"/>
        </w:rPr>
        <w:t xml:space="preserve">within 14 days</w:t>
      </w:r>
      <w:r>
        <w:rPr>
          <w:rFonts w:ascii="Calibri" w:cs="Calibri" w:eastAsia="Calibri" w:hAnsi="Calibri"/>
          <w:sz w:val="21"/>
          <w:szCs w:val="21"/>
        </w:rPr>
        <w:t xml:space="preserve"> of your last working day.</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sz w:val="21"/>
          <w:szCs w:val="21"/>
        </w:rPr>
        <w:t xml:space="preserve">Gratuity is calculated on </w:t>
      </w:r>
      <w:r>
        <w:rPr>
          <w:rFonts w:ascii="Calibri" w:cs="Calibri" w:eastAsia="Calibri" w:hAnsi="Calibri"/>
          <w:b/>
          <w:bCs/>
          <w:sz w:val="21"/>
          <w:szCs w:val="21"/>
        </w:rPr>
        <w:t xml:space="preserve">basic salary</w:t>
      </w:r>
      <w:r>
        <w:rPr>
          <w:rFonts w:ascii="Calibri" w:cs="Calibri" w:eastAsia="Calibri" w:hAnsi="Calibri"/>
          <w:sz w:val="21"/>
          <w:szCs w:val="21"/>
        </w:rPr>
        <w:t xml:space="preserve">: 21 days per year for the first five years, 30 days per year thereafter, capped at two years’ total salary.</w:t>
      </w:r>
    </w:p>
    <w:p>
      <w:pPr>
        <w:spacing w:after="120" w:before="60" w:line="276"/>
        <w:ind w:left="720" w:hanging="720"/>
        <w:jc w:val="both"/>
      </w:pPr>
      <w:r>
        <w:rPr>
          <w:rFonts w:ascii="Calibri" w:cs="Calibri" w:eastAsia="Calibri" w:hAnsi="Calibri"/>
          <w:sz w:val="21"/>
          <w:szCs w:val="21"/>
        </w:rPr>
        <w:t xml:space="preserve">9.4	</w:t>
      </w:r>
      <w:r>
        <w:rPr>
          <w:rFonts w:ascii="Calibri" w:cs="Calibri" w:eastAsia="Calibri" w:hAnsi="Calibri"/>
          <w:sz w:val="21"/>
          <w:szCs w:val="21"/>
        </w:rPr>
        <w:t xml:space="preserve">The Company will cancel your work permit and residence visa after settlement. A grace period applies afterwards; </w:t>
      </w:r>
      <w:r>
        <w:rPr>
          <w:rFonts w:ascii="Calibri" w:cs="Calibri" w:eastAsia="Calibri" w:hAnsi="Calibri"/>
          <w:b/>
          <w:bCs/>
          <w:sz w:val="21"/>
          <w:szCs w:val="21"/>
        </w:rPr>
        <w:t xml:space="preserve">[ROLE]</w:t>
      </w:r>
      <w:r>
        <w:rPr>
          <w:rFonts w:ascii="Calibri" w:cs="Calibri" w:eastAsia="Calibri" w:hAnsi="Calibri"/>
          <w:sz w:val="21"/>
          <w:szCs w:val="21"/>
        </w:rPr>
        <w:t xml:space="preserve"> will explain it.</w:t>
      </w:r>
    </w:p>
    <w:p>
      <w:pPr>
        <w:spacing w:after="120" w:before="60" w:line="276"/>
        <w:ind w:left="720" w:hanging="720"/>
        <w:jc w:val="both"/>
      </w:pPr>
      <w:r>
        <w:rPr>
          <w:rFonts w:ascii="Calibri" w:cs="Calibri" w:eastAsia="Calibri" w:hAnsi="Calibri"/>
          <w:sz w:val="21"/>
          <w:szCs w:val="21"/>
        </w:rPr>
        <w:t xml:space="preserve">9.5	</w:t>
      </w:r>
      <w:r>
        <w:rPr>
          <w:rFonts w:ascii="Calibri" w:cs="Calibri" w:eastAsia="Calibri" w:hAnsi="Calibri"/>
          <w:sz w:val="21"/>
          <w:szCs w:val="21"/>
        </w:rPr>
        <w:t xml:space="preserve">Company property, records and access credentials must be returned before your last day.</w:t>
      </w:r>
    </w:p>
    <w:p>
      <w:pPr>
        <w:spacing w:after="180"/>
      </w:pPr>
    </w:p>
    <w:p>
      <w:pPr>
        <w:spacing w:after="160" w:before="0" w:line="276"/>
        <w:jc w:val="both"/>
      </w:pPr>
      <w:r>
        <w:rPr>
          <w:rFonts w:ascii="Calibri" w:cs="Calibri" w:eastAsia="Calibri" w:hAnsi="Calibri"/>
          <w:b/>
          <w:bCs/>
          <w:sz w:val="21"/>
          <w:szCs w:val="21"/>
        </w:rPr>
        <w:t xml:space="preserve">Acknowledgement.</w:t>
      </w:r>
      <w:r>
        <w:rPr>
          <w:rFonts w:ascii="Calibri" w:cs="Calibri" w:eastAsia="Calibri" w:hAnsi="Calibri"/>
          <w:sz w:val="21"/>
          <w:szCs w:val="21"/>
        </w:rPr>
        <w:t xml:space="preserve"> I confirm that I have received and read this handbook, and that I understand it is not part of my contract of employment.</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For </w:t>
            </w:r>
            <w:r>
              <w:rPr>
                <w:rFonts w:ascii="Calibri" w:cs="Calibri" w:eastAsia="Calibri" w:hAnsi="Calibri"/>
                <w:b/>
                <w:bCs/>
                <w:sz w:val="21"/>
                <w:szCs w:val="21"/>
              </w:rPr>
              <w:t xml:space="preserve">[COMPANY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Say it is not contractual, and mean it</w:t>
      </w:r>
    </w:p>
    <w:p>
      <w:pPr>
        <w:spacing w:after="60" w:line="264"/>
        <w:jc w:val="both"/>
      </w:pPr>
      <w:r>
        <w:rPr>
          <w:rFonts w:ascii="Calibri" w:cs="Calibri" w:eastAsia="Calibri" w:hAnsi="Calibri"/>
          <w:sz w:val="19"/>
          <w:szCs w:val="19"/>
        </w:rPr>
        <w:t xml:space="preserve">A handbook expressed as contractual turns every policy and discretionary benefit into a term that cannot be varied without written consent and a MOHRE contract amendment. Clause 1.2 states the position; make sure practice matches it and that genuinely contractual items live in the contract instead.</w:t>
      </w:r>
    </w:p>
    <w:p>
      <w:pPr>
        <w:keepNext/>
        <w:spacing w:after="40" w:before="140"/>
      </w:pPr>
      <w:r>
        <w:rPr>
          <w:rFonts w:ascii="Calibri" w:cs="Calibri" w:eastAsia="Calibri" w:hAnsi="Calibri"/>
          <w:b/>
          <w:bCs/>
          <w:color w:val="14161B"/>
          <w:sz w:val="20"/>
          <w:szCs w:val="20"/>
        </w:rPr>
        <w:t xml:space="preserve">The contract and the Law prevail</w:t>
      </w:r>
    </w:p>
    <w:p>
      <w:pPr>
        <w:spacing w:after="60" w:line="264"/>
        <w:jc w:val="both"/>
      </w:pPr>
      <w:r>
        <w:rPr>
          <w:rFonts w:ascii="Calibri" w:cs="Calibri" w:eastAsia="Calibri" w:hAnsi="Calibri"/>
          <w:sz w:val="19"/>
          <w:szCs w:val="19"/>
        </w:rPr>
        <w:t xml:space="preserve">Where the handbook says one thing and the registered MOHRE contract or Federal Decree-Law 33/2021 says another, the contract and the Law govern. A handbook promising less than the statutory entitlement does not reduce it; a handbook promising more may create an expectation that is hard to withdraw.</w:t>
      </w:r>
    </w:p>
    <w:p>
      <w:pPr>
        <w:keepNext/>
        <w:spacing w:after="40" w:before="140"/>
      </w:pPr>
      <w:r>
        <w:rPr>
          <w:rFonts w:ascii="Calibri" w:cs="Calibri" w:eastAsia="Calibri" w:hAnsi="Calibri"/>
          <w:b/>
          <w:bCs/>
          <w:color w:val="14161B"/>
          <w:sz w:val="20"/>
          <w:szCs w:val="20"/>
        </w:rPr>
        <w:t xml:space="preserve">Disciplinary penalties are a closed statutory list</w:t>
      </w:r>
    </w:p>
    <w:p>
      <w:pPr>
        <w:spacing w:after="60" w:line="264"/>
        <w:jc w:val="both"/>
      </w:pPr>
      <w:r>
        <w:rPr>
          <w:rFonts w:ascii="Calibri" w:cs="Calibri" w:eastAsia="Calibri" w:hAnsi="Calibri"/>
          <w:sz w:val="19"/>
          <w:szCs w:val="19"/>
        </w:rPr>
        <w:t xml:space="preserve">The Law specifies which penalties an employer may impose. Inventing a sanction — an unpaid suspension, a salary reduction, a withheld allowance — creates a claim even where the underlying misconduct was real. Set out the permitted list and do not depart from it.</w:t>
      </w:r>
    </w:p>
    <w:p>
      <w:pPr>
        <w:keepNext/>
        <w:spacing w:after="40" w:before="140"/>
      </w:pPr>
      <w:r>
        <w:rPr>
          <w:rFonts w:ascii="Calibri" w:cs="Calibri" w:eastAsia="Calibri" w:hAnsi="Calibri"/>
          <w:b/>
          <w:bCs/>
          <w:color w:val="14161B"/>
          <w:sz w:val="20"/>
          <w:szCs w:val="20"/>
        </w:rPr>
        <w:t xml:space="preserve">Investigate before deciding, always</w:t>
      </w:r>
    </w:p>
    <w:p>
      <w:pPr>
        <w:spacing w:after="60" w:line="264"/>
        <w:jc w:val="both"/>
      </w:pPr>
      <w:r>
        <w:rPr>
          <w:rFonts w:ascii="Calibri" w:cs="Calibri" w:eastAsia="Calibri" w:hAnsi="Calibri"/>
          <w:sz w:val="19"/>
          <w:szCs w:val="19"/>
        </w:rPr>
        <w:t xml:space="preserve">Summary termination requires both a statutory ground and the required process, including putting the allegation to the employee and allowing a response. Employers treat obvious misconduct as self-evidently justifying immediate dismissal and skip the process, which converts a defensible decision into a claim.</w:t>
      </w:r>
    </w:p>
    <w:p>
      <w:pPr>
        <w:keepNext/>
        <w:spacing w:after="40" w:before="140"/>
      </w:pPr>
      <w:r>
        <w:rPr>
          <w:rFonts w:ascii="Calibri" w:cs="Calibri" w:eastAsia="Calibri" w:hAnsi="Calibri"/>
          <w:b/>
          <w:bCs/>
          <w:color w:val="14161B"/>
          <w:sz w:val="20"/>
          <w:szCs w:val="20"/>
        </w:rPr>
        <w:t xml:space="preserve">Retaliation risks an arbitrary dismissal finding</w:t>
      </w:r>
    </w:p>
    <w:p>
      <w:pPr>
        <w:spacing w:after="60" w:line="264"/>
        <w:jc w:val="both"/>
      </w:pPr>
      <w:r>
        <w:rPr>
          <w:rFonts w:ascii="Calibri" w:cs="Calibri" w:eastAsia="Calibri" w:hAnsi="Calibri"/>
          <w:sz w:val="19"/>
          <w:szCs w:val="19"/>
        </w:rPr>
        <w:t xml:space="preserve">Dismissing an employee because they filed a legitimate complaint can attract compensation of up to three months’ salary in addition to other entitlements. Clause 7.3 states the commitment; the record of what actually happened is what defends it.</w:t>
      </w:r>
    </w:p>
    <w:p>
      <w:pPr>
        <w:keepNext/>
        <w:spacing w:after="40" w:before="140"/>
      </w:pPr>
      <w:r>
        <w:rPr>
          <w:rFonts w:ascii="Calibri" w:cs="Calibri" w:eastAsia="Calibri" w:hAnsi="Calibri"/>
          <w:b/>
          <w:bCs/>
          <w:color w:val="14161B"/>
          <w:sz w:val="20"/>
          <w:szCs w:val="20"/>
        </w:rPr>
        <w:t xml:space="preserve">Address conduct outside work carefully but clearly</w:t>
      </w:r>
    </w:p>
    <w:p>
      <w:pPr>
        <w:spacing w:after="60" w:line="264"/>
        <w:jc w:val="both"/>
      </w:pPr>
      <w:r>
        <w:rPr>
          <w:rFonts w:ascii="Calibri" w:cs="Calibri" w:eastAsia="Calibri" w:hAnsi="Calibri"/>
          <w:sz w:val="19"/>
          <w:szCs w:val="19"/>
        </w:rPr>
        <w:t xml:space="preserve">UAE law reaches conduct that in other jurisdictions would be private, including public behaviour and social media, and a criminal matter can affect residence status as well as employment. Employees relocating from elsewhere frequently do not appreciate this. Say it once, plainly, without moralising.</w:t>
      </w:r>
    </w:p>
    <w:p>
      <w:pPr>
        <w:keepNext/>
        <w:spacing w:after="40" w:before="140"/>
      </w:pPr>
      <w:r>
        <w:rPr>
          <w:rFonts w:ascii="Calibri" w:cs="Calibri" w:eastAsia="Calibri" w:hAnsi="Calibri"/>
          <w:b/>
          <w:bCs/>
          <w:color w:val="14161B"/>
          <w:sz w:val="20"/>
          <w:szCs w:val="20"/>
        </w:rPr>
        <w:t xml:space="preserve">Employer costs cannot be recovered</w:t>
      </w:r>
    </w:p>
    <w:p>
      <w:pPr>
        <w:spacing w:after="60" w:line="264"/>
        <w:jc w:val="both"/>
      </w:pPr>
      <w:r>
        <w:rPr>
          <w:rFonts w:ascii="Calibri" w:cs="Calibri" w:eastAsia="Calibri" w:hAnsi="Calibri"/>
          <w:sz w:val="19"/>
          <w:szCs w:val="19"/>
        </w:rPr>
        <w:t xml:space="preserve">Work permit, visa, medical, Emirates ID and recruitment costs are the employer’s by law and cannot be deducted from salary or recovered on early departure. Stating it in the handbook prevents well-meaning managers from agreeing repayment arrangements that are unenforceable and unlawful.</w:t>
      </w:r>
    </w:p>
    <w:p>
      <w:pPr>
        <w:keepNext/>
        <w:spacing w:after="40" w:before="140"/>
      </w:pPr>
      <w:r>
        <w:rPr>
          <w:rFonts w:ascii="Calibri" w:cs="Calibri" w:eastAsia="Calibri" w:hAnsi="Calibri"/>
          <w:b/>
          <w:bCs/>
          <w:color w:val="14161B"/>
          <w:sz w:val="20"/>
          <w:szCs w:val="20"/>
        </w:rPr>
        <w:t xml:space="preserve">The midday ban is not waivable</w:t>
      </w:r>
    </w:p>
    <w:p>
      <w:pPr>
        <w:spacing w:after="60" w:line="264"/>
        <w:jc w:val="both"/>
      </w:pPr>
      <w:r>
        <w:rPr>
          <w:rFonts w:ascii="Calibri" w:cs="Calibri" w:eastAsia="Calibri" w:hAnsi="Calibri"/>
          <w:sz w:val="19"/>
          <w:szCs w:val="19"/>
        </w:rPr>
        <w:t xml:space="preserve">Outdoor work during the prescribed summer afternoon hours is prohibited, and an employee’s willingness to work makes no difference. It is an employer duty with inspections and penalties behind it.</w:t>
      </w:r>
    </w:p>
    <w:p>
      <w:pPr>
        <w:keepNext/>
        <w:spacing w:after="40" w:before="140"/>
      </w:pPr>
      <w:r>
        <w:rPr>
          <w:rFonts w:ascii="Calibri" w:cs="Calibri" w:eastAsia="Calibri" w:hAnsi="Calibri"/>
          <w:b/>
          <w:bCs/>
          <w:color w:val="14161B"/>
          <w:sz w:val="20"/>
          <w:szCs w:val="20"/>
        </w:rPr>
        <w:t xml:space="preserve">Explain ILOE — it is the employee’s obligation</w:t>
      </w:r>
    </w:p>
    <w:p>
      <w:pPr>
        <w:spacing w:after="60" w:line="264"/>
        <w:jc w:val="both"/>
      </w:pPr>
      <w:r>
        <w:rPr>
          <w:rFonts w:ascii="Calibri" w:cs="Calibri" w:eastAsia="Calibri" w:hAnsi="Calibri"/>
          <w:sz w:val="19"/>
          <w:szCs w:val="19"/>
        </w:rPr>
        <w:t xml:space="preserve">Unemployment insurance subscription falls on the employee, not the employer, but failure to subscribe attracts a fine and can block a future work permit when they change jobs. Telling them costs nothing and prevents a problem the Company will hear about later.</w:t>
      </w:r>
    </w:p>
    <w:p>
      <w:pPr>
        <w:keepNext/>
        <w:spacing w:after="40" w:before="140"/>
      </w:pPr>
      <w:r>
        <w:rPr>
          <w:rFonts w:ascii="Calibri" w:cs="Calibri" w:eastAsia="Calibri" w:hAnsi="Calibri"/>
          <w:b/>
          <w:bCs/>
          <w:color w:val="14161B"/>
          <w:sz w:val="20"/>
          <w:szCs w:val="20"/>
        </w:rPr>
        <w:t xml:space="preserve">Gratuity on basic salary — say it in the handbook</w:t>
      </w:r>
    </w:p>
    <w:p>
      <w:pPr>
        <w:spacing w:after="60" w:line="264"/>
        <w:jc w:val="both"/>
      </w:pPr>
      <w:r>
        <w:rPr>
          <w:rFonts w:ascii="Calibri" w:cs="Calibri" w:eastAsia="Calibri" w:hAnsi="Calibri"/>
          <w:sz w:val="19"/>
          <w:szCs w:val="19"/>
        </w:rPr>
        <w:t xml:space="preserve">The most common end-of-service dispute is an employee expecting gratuity on total package. Stating the basis in the handbook, in the contract and in the offer means the conversation happens at hiring rather than at exit.</w:t>
      </w:r>
    </w:p>
    <w:p>
      <w:pPr>
        <w:keepNext/>
        <w:spacing w:after="40" w:before="140"/>
      </w:pPr>
      <w:r>
        <w:rPr>
          <w:rFonts w:ascii="Calibri" w:cs="Calibri" w:eastAsia="Calibri" w:hAnsi="Calibri"/>
          <w:b/>
          <w:bCs/>
          <w:color w:val="14161B"/>
          <w:sz w:val="20"/>
          <w:szCs w:val="20"/>
        </w:rPr>
        <w:t xml:space="preserve">Fourteen days is short</w:t>
      </w:r>
    </w:p>
    <w:p>
      <w:pPr>
        <w:spacing w:after="60" w:line="264"/>
        <w:jc w:val="both"/>
      </w:pPr>
      <w:r>
        <w:rPr>
          <w:rFonts w:ascii="Calibri" w:cs="Calibri" w:eastAsia="Calibri" w:hAnsi="Calibri"/>
          <w:sz w:val="19"/>
          <w:szCs w:val="19"/>
        </w:rPr>
        <w:t xml:space="preserve">All final entitlements are due within 14 days of the last working day. Build the calculation into the notice process rather than starting it after the employee has gone, and reconcile the leave balance to records rather than memory.</w:t>
      </w:r>
    </w:p>
    <w:p>
      <w:pPr>
        <w:keepNext/>
        <w:spacing w:after="40" w:before="140"/>
      </w:pPr>
      <w:r>
        <w:rPr>
          <w:rFonts w:ascii="Calibri" w:cs="Calibri" w:eastAsia="Calibri" w:hAnsi="Calibri"/>
          <w:b/>
          <w:bCs/>
          <w:color w:val="14161B"/>
          <w:sz w:val="20"/>
          <w:szCs w:val="20"/>
        </w:rPr>
        <w:t xml:space="preserve">Keep the Arabic version available</w:t>
      </w:r>
    </w:p>
    <w:p>
      <w:pPr>
        <w:spacing w:after="60" w:line="264"/>
        <w:jc w:val="both"/>
      </w:pPr>
      <w:r>
        <w:rPr>
          <w:rFonts w:ascii="Calibri" w:cs="Calibri" w:eastAsia="Calibri" w:hAnsi="Calibri"/>
          <w:sz w:val="19"/>
          <w:szCs w:val="19"/>
        </w:rPr>
        <w:t xml:space="preserve">Where a workforce includes Arabic speakers, and for any dispute or MOHRE process, an Arabic version matters. The English handbook is workable for day-to-day use, but an Arabic version should exist and should be prepared by a qualified translator.</w:t>
      </w:r>
    </w:p>
    <w:p>
      <w:pPr>
        <w:keepNext/>
        <w:spacing w:after="40" w:before="140"/>
      </w:pPr>
      <w:r>
        <w:rPr>
          <w:rFonts w:ascii="Calibri" w:cs="Calibri" w:eastAsia="Calibri" w:hAnsi="Calibri"/>
          <w:b/>
          <w:bCs/>
          <w:color w:val="14161B"/>
          <w:sz w:val="20"/>
          <w:szCs w:val="20"/>
        </w:rPr>
        <w:t xml:space="preserve">Version it and record acknowledgement</w:t>
      </w:r>
    </w:p>
    <w:p>
      <w:pPr>
        <w:spacing w:after="60" w:line="264"/>
        <w:jc w:val="both"/>
      </w:pPr>
      <w:r>
        <w:rPr>
          <w:rFonts w:ascii="Calibri" w:cs="Calibri" w:eastAsia="Calibri" w:hAnsi="Calibri"/>
          <w:sz w:val="19"/>
          <w:szCs w:val="19"/>
        </w:rPr>
        <w:t xml:space="preserve">Keep a version number and date, notify material changes, and retain the signed acknowledgement. Where a policy is later relied on, the question is always whether the employee was told — and the acknowledgement is the answer.</w:t>
      </w:r>
    </w:p>
    <w:p>
      <w:pPr>
        <w:keepNext/>
        <w:spacing w:after="40" w:before="140"/>
      </w:pPr>
      <w:r>
        <w:rPr>
          <w:rFonts w:ascii="Calibri" w:cs="Calibri" w:eastAsia="Calibri" w:hAnsi="Calibri"/>
          <w:b/>
          <w:bCs/>
          <w:color w:val="14161B"/>
          <w:sz w:val="20"/>
          <w:szCs w:val="20"/>
        </w:rPr>
        <w:t xml:space="preserve">Review the flexible work section against the permitted models</w:t>
      </w:r>
    </w:p>
    <w:p>
      <w:pPr>
        <w:spacing w:after="60" w:line="264"/>
        <w:jc w:val="both"/>
      </w:pPr>
      <w:r>
        <w:rPr>
          <w:rFonts w:ascii="Calibri" w:cs="Calibri" w:eastAsia="Calibri" w:hAnsi="Calibri"/>
          <w:sz w:val="19"/>
          <w:szCs w:val="19"/>
        </w:rPr>
        <w:t xml:space="preserve">The Law recognises defined alternative work models with their own permit requirements. A handbook offering flexible or part-time arrangements should reflect what is actually permitted and permitted for, rather than describing an informal practice.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Federal Decree-Law 33/2021 has been amended and Cabinet resolutions on leave, working hours, penalties, work models and dispute resolution change — confirm the current position with MOHRE or a UAE employment adviser, and note that free zone, DIFC and ADGM employers need a handbook drafted for their own regime.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2026-08-23T16:28:34.108Z</dcterms:created>
  <dcterms:modified xsi:type="dcterms:W3CDTF">2026-08-23T16:28:34.108Z</dcterms:modified>
</cp:coreProperties>
</file>

<file path=docProps/custom.xml><?xml version="1.0" encoding="utf-8"?>
<Properties xmlns="http://schemas.openxmlformats.org/officeDocument/2006/custom-properties" xmlns:vt="http://schemas.openxmlformats.org/officeDocument/2006/docPropsVTypes"/>
</file>