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footer+xml" PartName="/word/footer1.xml"/>
  <Override ContentType="application/vnd.openxmlformats-officedocument.wordprocessingml.footer+xml" PartName="/word/footer2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60" w:before="240"/>
        <w:jc w:val="center"/>
      </w:pPr>
      <w:r>
        <w:rPr>
          <w:rFonts w:ascii="Calibri" w:cs="Calibri" w:eastAsia="Calibri" w:hAnsi="Calibri"/>
          <w:b/>
          <w:bCs/>
          <w:color w:val="14161B"/>
          <w:spacing w:val="12"/>
          <w:sz w:val="28"/>
          <w:szCs w:val="28"/>
        </w:rPr>
        <w:t xml:space="preserve">EMPLOYEE EQUITY</w:t>
      </w:r>
    </w:p>
    <w:p>
      <w:pPr>
        <w:spacing w:after="260"/>
        <w:jc w:val="center"/>
      </w:pPr>
      <w:r>
        <w:rPr>
          <w:rFonts w:ascii="Calibri" w:cs="Calibri" w:eastAsia="Calibri" w:hAnsi="Calibri"/>
          <w:i/>
          <w:iCs/>
          <w:color w:val="6E7480"/>
          <w:sz w:val="19"/>
          <w:szCs w:val="19"/>
        </w:rPr>
        <w:t xml:space="preserve">Option schemes, phantom plans and what actually works in the UAE</w:t>
      </w:r>
    </w:p>
    <w:p>
      <w:pPr>
        <w:spacing w:after="180" w:before="0" w:line="276"/>
        <w:jc w:val="both"/>
      </w:pPr>
      <w:r>
        <w:rPr>
          <w:rFonts w:ascii="Calibri" w:cs="Calibri" w:eastAsia="Calibri" w:hAnsi="Calibri"/>
          <w:i/>
          <w:iCs/>
          <w:color w:val="6E7480"/>
          <w:sz w:val="21"/>
          <w:szCs w:val="21"/>
        </w:rPr>
        <w:t xml:space="preserve">Start with the entity. A </w:t>
      </w:r>
      <w:r>
        <w:rPr>
          <w:rFonts w:ascii="Calibri" w:cs="Calibri" w:eastAsia="Calibri" w:hAnsi="Calibri"/>
          <w:b/>
          <w:bCs/>
          <w:i/>
          <w:iCs/>
          <w:color w:val="6E7480"/>
          <w:sz w:val="21"/>
          <w:szCs w:val="21"/>
        </w:rPr>
        <w:t xml:space="preserve">mainland LLC cannot readily run an option scheme</w:t>
      </w:r>
      <w:r>
        <w:rPr>
          <w:rFonts w:ascii="Calibri" w:cs="Calibri" w:eastAsia="Calibri" w:hAnsi="Calibri"/>
          <w:i/>
          <w:iCs/>
          <w:color w:val="6E7480"/>
          <w:sz w:val="21"/>
          <w:szCs w:val="21"/>
        </w:rPr>
        <w:t xml:space="preserve"> — every share transfer needs notarisation and authority approval, and there is no register mechanism that makes small grants practical. Companies that want real employee equity either hold it at a DIFC, ADGM or offshore entity, or use a </w:t>
      </w:r>
      <w:r>
        <w:rPr>
          <w:rFonts w:ascii="Calibri" w:cs="Calibri" w:eastAsia="Calibri" w:hAnsi="Calibri"/>
          <w:b/>
          <w:bCs/>
          <w:i/>
          <w:iCs/>
          <w:color w:val="6E7480"/>
          <w:sz w:val="21"/>
          <w:szCs w:val="21"/>
        </w:rPr>
        <w:t xml:space="preserve">phantom plan</w:t>
      </w:r>
      <w:r>
        <w:rPr>
          <w:rFonts w:ascii="Calibri" w:cs="Calibri" w:eastAsia="Calibri" w:hAnsi="Calibri"/>
          <w:i/>
          <w:iCs/>
          <w:color w:val="6E7480"/>
          <w:sz w:val="21"/>
          <w:szCs w:val="21"/>
        </w:rPr>
        <w:t xml:space="preserve"> that pays cash instead.</w:t>
      </w:r>
    </w:p>
    <w:tbl>
      <w:tblPr>
        <w:tblW w:type="dxa" w:w="9638"/>
        <w:tblBorders>
          <w:top w:val="single" w:color="B9BEC8" w:sz="4"/>
          <w:left w:val="single" w:color="B9BEC8" w:sz="4"/>
          <w:bottom w:val="single" w:color="B9BEC8" w:sz="4"/>
          <w:right w:val="single" w:color="B9BEC8" w:sz="4"/>
          <w:insideH w:val="single" w:color="D3D7DF" w:sz="2"/>
          <w:insideV w:val="single" w:color="D3D7DF" w:sz="2"/>
        </w:tblBorders>
      </w:tblPr>
      <w:tblGrid>
        <w:gridCol w:w="3469"/>
        <w:gridCol w:w="6169"/>
      </w:tblGrid>
      <w:tr>
        <w:trPr>
          <w:cantSplit/>
          <w:tblHeader/>
        </w:trPr>
        <w:tc>
          <w:tcPr>
            <w:tcW w:type="dxa" w:w="3469"/>
            <w:shd w:fill="EEF1FE" w:color="auto" w:val="clear"/>
            <w:tcMar>
              <w:top w:type="dxa" w:w="70"/>
              <w:left w:type="dxa" w:w="100"/>
              <w:bottom w:type="dxa" w:w="70"/>
              <w:right w:type="dxa" w:w="100"/>
            </w:tcMar>
            <w:vAlign w:val="center"/>
          </w:tcPr>
          <w:p>
            <w:pPr>
              <w:spacing w:after="0" w:line="240"/>
              <w:jc w:val="left"/>
            </w:pPr>
            <w:r>
              <w:rPr>
                <w:rFonts w:ascii="Calibri" w:cs="Calibri" w:eastAsia="Calibri" w:hAnsi="Calibri"/>
                <w:b/>
                <w:bCs/>
                <w:sz w:val="19"/>
                <w:szCs w:val="19"/>
              </w:rPr>
              <w:t xml:space="preserve">Item</w:t>
            </w:r>
          </w:p>
        </w:tc>
        <w:tc>
          <w:tcPr>
            <w:tcW w:type="dxa" w:w="6169"/>
            <w:shd w:fill="EEF1FE" w:color="auto" w:val="clear"/>
            <w:tcMar>
              <w:top w:type="dxa" w:w="70"/>
              <w:left w:type="dxa" w:w="100"/>
              <w:bottom w:type="dxa" w:w="70"/>
              <w:right w:type="dxa" w:w="100"/>
            </w:tcMar>
            <w:vAlign w:val="center"/>
          </w:tcPr>
          <w:p>
            <w:pPr>
              <w:spacing w:after="0" w:line="240"/>
              <w:jc w:val="left"/>
            </w:pPr>
            <w:r>
              <w:rPr>
                <w:rFonts w:ascii="Calibri" w:cs="Calibri" w:eastAsia="Calibri" w:hAnsi="Calibri"/>
                <w:b/>
                <w:bCs/>
                <w:sz w:val="19"/>
                <w:szCs w:val="19"/>
              </w:rPr>
              <w:t xml:space="preserve">Detail</w:t>
            </w:r>
          </w:p>
        </w:tc>
      </w:tr>
      <w:tr>
        <w:trPr>
          <w:cantSplit/>
        </w:trPr>
        <w:tc>
          <w:tcPr>
            <w:tcW w:type="dxa" w:w="3469"/>
            <w:tcMar>
              <w:top w:type="dxa" w:w="70"/>
              <w:left w:type="dxa" w:w="100"/>
              <w:bottom w:type="dxa" w:w="70"/>
              <w:right w:type="dxa" w:w="100"/>
            </w:tcMar>
            <w:vAlign w:val="center"/>
          </w:tcPr>
          <w:p>
            <w:pPr>
              <w:spacing w:after="0" w:line="240"/>
              <w:jc w:val="left"/>
            </w:pPr>
            <w:r>
              <w:rPr>
                <w:rFonts w:ascii="Calibri" w:cs="Calibri" w:eastAsia="Calibri" w:hAnsi="Calibri"/>
                <w:sz w:val="19"/>
                <w:szCs w:val="19"/>
              </w:rPr>
              <w:t xml:space="preserve">Company</w:t>
            </w:r>
          </w:p>
        </w:tc>
        <w:tc>
          <w:tcPr>
            <w:tcW w:type="dxa" w:w="6169"/>
            <w:tcMar>
              <w:top w:type="dxa" w:w="70"/>
              <w:left w:type="dxa" w:w="100"/>
              <w:bottom w:type="dxa" w:w="70"/>
              <w:right w:type="dxa" w:w="100"/>
            </w:tcMar>
            <w:vAlign w:val="center"/>
          </w:tcPr>
          <w:p>
            <w:pPr>
              <w:spacing w:after="0" w:line="240"/>
              <w:jc w:val="left"/>
            </w:pPr>
            <w:r>
              <w:rPr>
                <w:rFonts w:ascii="Calibri" w:cs="Calibri" w:eastAsia="Calibri" w:hAnsi="Calibri"/>
                <w:b/>
                <w:bCs/>
                <w:sz w:val="19"/>
                <w:szCs w:val="19"/>
              </w:rPr>
              <w:t xml:space="preserve">[COMPANY NAME]</w:t>
            </w:r>
          </w:p>
        </w:tc>
      </w:tr>
      <w:tr>
        <w:trPr>
          <w:cantSplit/>
        </w:trPr>
        <w:tc>
          <w:tcPr>
            <w:tcW w:type="dxa" w:w="3469"/>
            <w:tcMar>
              <w:top w:type="dxa" w:w="70"/>
              <w:left w:type="dxa" w:w="100"/>
              <w:bottom w:type="dxa" w:w="70"/>
              <w:right w:type="dxa" w:w="100"/>
            </w:tcMar>
            <w:vAlign w:val="center"/>
          </w:tcPr>
          <w:p>
            <w:pPr>
              <w:spacing w:after="0" w:line="240"/>
              <w:jc w:val="left"/>
            </w:pPr>
            <w:r>
              <w:rPr>
                <w:rFonts w:ascii="Calibri" w:cs="Calibri" w:eastAsia="Calibri" w:hAnsi="Calibri"/>
                <w:b/>
                <w:bCs/>
                <w:sz w:val="19"/>
                <w:szCs w:val="19"/>
              </w:rPr>
              <w:t xml:space="preserve">Entity issuing the equity</w:t>
            </w:r>
          </w:p>
        </w:tc>
        <w:tc>
          <w:tcPr>
            <w:tcW w:type="dxa" w:w="6169"/>
            <w:tcMar>
              <w:top w:type="dxa" w:w="70"/>
              <w:left w:type="dxa" w:w="100"/>
              <w:bottom w:type="dxa" w:w="70"/>
              <w:right w:type="dxa" w:w="100"/>
            </w:tcMar>
            <w:vAlign w:val="center"/>
          </w:tcPr>
          <w:p>
            <w:pPr>
              <w:spacing w:after="0" w:line="240"/>
              <w:jc w:val="left"/>
            </w:pPr>
            <w:r>
              <w:rPr>
                <w:rFonts w:ascii="Calibri" w:cs="Calibri" w:eastAsia="Calibri" w:hAnsi="Calibri"/>
                <w:b/>
                <w:bCs/>
                <w:sz w:val="19"/>
                <w:szCs w:val="19"/>
              </w:rPr>
              <w:t xml:space="preserve">[Mainland LLC / Free zone / DIFC / ADGM / Offshore holdco]</w:t>
            </w:r>
          </w:p>
        </w:tc>
      </w:tr>
      <w:tr>
        <w:trPr>
          <w:cantSplit/>
        </w:trPr>
        <w:tc>
          <w:tcPr>
            <w:tcW w:type="dxa" w:w="3469"/>
            <w:tcMar>
              <w:top w:type="dxa" w:w="70"/>
              <w:left w:type="dxa" w:w="100"/>
              <w:bottom w:type="dxa" w:w="70"/>
              <w:right w:type="dxa" w:w="100"/>
            </w:tcMar>
            <w:vAlign w:val="center"/>
          </w:tcPr>
          <w:p>
            <w:pPr>
              <w:spacing w:after="0" w:line="240"/>
              <w:jc w:val="left"/>
            </w:pPr>
            <w:r>
              <w:rPr>
                <w:rFonts w:ascii="Calibri" w:cs="Calibri" w:eastAsia="Calibri" w:hAnsi="Calibri"/>
                <w:b/>
                <w:bCs/>
                <w:sz w:val="19"/>
                <w:szCs w:val="19"/>
              </w:rPr>
              <w:t xml:space="preserve">Instrument</w:t>
            </w:r>
          </w:p>
        </w:tc>
        <w:tc>
          <w:tcPr>
            <w:tcW w:type="dxa" w:w="6169"/>
            <w:tcMar>
              <w:top w:type="dxa" w:w="70"/>
              <w:left w:type="dxa" w:w="100"/>
              <w:bottom w:type="dxa" w:w="70"/>
              <w:right w:type="dxa" w:w="100"/>
            </w:tcMar>
            <w:vAlign w:val="center"/>
          </w:tcPr>
          <w:p>
            <w:pPr>
              <w:spacing w:after="0" w:line="240"/>
              <w:jc w:val="left"/>
            </w:pPr>
            <w:r>
              <w:rPr>
                <w:rFonts w:ascii="Calibri" w:cs="Calibri" w:eastAsia="Calibri" w:hAnsi="Calibri"/>
                <w:b/>
                <w:bCs/>
                <w:sz w:val="19"/>
                <w:szCs w:val="19"/>
              </w:rPr>
              <w:t xml:space="preserve">[Share options / Share awards / Phantom or cash-settled plan]</w:t>
            </w:r>
          </w:p>
        </w:tc>
      </w:tr>
      <w:tr>
        <w:trPr>
          <w:cantSplit/>
        </w:trPr>
        <w:tc>
          <w:tcPr>
            <w:tcW w:type="dxa" w:w="3469"/>
            <w:tcMar>
              <w:top w:type="dxa" w:w="70"/>
              <w:left w:type="dxa" w:w="100"/>
              <w:bottom w:type="dxa" w:w="70"/>
              <w:right w:type="dxa" w:w="100"/>
            </w:tcMar>
            <w:vAlign w:val="center"/>
          </w:tcPr>
          <w:p>
            <w:pPr>
              <w:spacing w:after="0" w:line="240"/>
              <w:jc w:val="left"/>
            </w:pPr>
            <w:r>
              <w:rPr>
                <w:rFonts w:ascii="Calibri" w:cs="Calibri" w:eastAsia="Calibri" w:hAnsi="Calibri"/>
                <w:sz w:val="19"/>
                <w:szCs w:val="19"/>
              </w:rPr>
              <w:t xml:space="preserve">Pool size</w:t>
            </w:r>
          </w:p>
        </w:tc>
        <w:tc>
          <w:tcPr>
            <w:tcW w:type="dxa" w:w="6169"/>
            <w:tcMar>
              <w:top w:type="dxa" w:w="70"/>
              <w:left w:type="dxa" w:w="100"/>
              <w:bottom w:type="dxa" w:w="70"/>
              <w:right w:type="dxa" w:w="100"/>
            </w:tcMar>
            <w:vAlign w:val="center"/>
          </w:tcPr>
          <w:p>
            <w:pPr>
              <w:spacing w:after="0" w:line="240"/>
              <w:jc w:val="left"/>
            </w:pPr>
            <w:r>
              <w:rPr>
                <w:rFonts w:ascii="Calibri" w:cs="Calibri" w:eastAsia="Calibri" w:hAnsi="Calibri"/>
                <w:b/>
                <w:bCs/>
                <w:sz w:val="19"/>
                <w:szCs w:val="19"/>
              </w:rPr>
              <w:t xml:space="preserve">[PERCENTAGE]</w:t>
            </w:r>
            <w:r>
              <w:rPr>
                <w:rFonts w:ascii="Calibri" w:cs="Calibri" w:eastAsia="Calibri" w:hAnsi="Calibri"/>
                <w:sz w:val="19"/>
                <w:szCs w:val="19"/>
              </w:rPr>
              <w:t xml:space="preserve"> fully diluted — </w:t>
            </w:r>
            <w:r>
              <w:rPr>
                <w:rFonts w:ascii="Calibri" w:cs="Calibri" w:eastAsia="Calibri" w:hAnsi="Calibri"/>
                <w:b/>
                <w:bCs/>
                <w:sz w:val="19"/>
                <w:szCs w:val="19"/>
              </w:rPr>
              <w:t xml:space="preserve">[NUMBER]</w:t>
            </w:r>
            <w:r>
              <w:rPr>
                <w:rFonts w:ascii="Calibri" w:cs="Calibri" w:eastAsia="Calibri" w:hAnsi="Calibri"/>
                <w:sz w:val="19"/>
                <w:szCs w:val="19"/>
              </w:rPr>
              <w:t xml:space="preserve"> shares</w:t>
            </w:r>
          </w:p>
        </w:tc>
      </w:tr>
      <w:tr>
        <w:trPr>
          <w:cantSplit/>
        </w:trPr>
        <w:tc>
          <w:tcPr>
            <w:tcW w:type="dxa" w:w="3469"/>
            <w:tcMar>
              <w:top w:type="dxa" w:w="70"/>
              <w:left w:type="dxa" w:w="100"/>
              <w:bottom w:type="dxa" w:w="70"/>
              <w:right w:type="dxa" w:w="100"/>
            </w:tcMar>
            <w:vAlign w:val="center"/>
          </w:tcPr>
          <w:p>
            <w:pPr>
              <w:spacing w:after="0" w:line="240"/>
              <w:jc w:val="left"/>
            </w:pPr>
            <w:r>
              <w:rPr>
                <w:rFonts w:ascii="Calibri" w:cs="Calibri" w:eastAsia="Calibri" w:hAnsi="Calibri"/>
                <w:sz w:val="19"/>
                <w:szCs w:val="19"/>
              </w:rPr>
              <w:t xml:space="preserve">Granted to date</w:t>
            </w:r>
          </w:p>
        </w:tc>
        <w:tc>
          <w:tcPr>
            <w:tcW w:type="dxa" w:w="6169"/>
            <w:tcMar>
              <w:top w:type="dxa" w:w="70"/>
              <w:left w:type="dxa" w:w="100"/>
              <w:bottom w:type="dxa" w:w="70"/>
              <w:right w:type="dxa" w:w="100"/>
            </w:tcMar>
            <w:vAlign w:val="center"/>
          </w:tcPr>
          <w:p>
            <w:pPr>
              <w:spacing w:after="0" w:line="240"/>
              <w:jc w:val="left"/>
            </w:pPr>
            <w:r>
              <w:rPr>
                <w:rFonts w:ascii="Calibri" w:cs="Calibri" w:eastAsia="Calibri" w:hAnsi="Calibri"/>
                <w:b/>
                <w:bCs/>
                <w:sz w:val="19"/>
                <w:szCs w:val="19"/>
              </w:rPr>
              <w:t xml:space="preserve">[NUMBER]</w:t>
            </w:r>
            <w:r>
              <w:rPr>
                <w:rFonts w:ascii="Calibri" w:cs="Calibri" w:eastAsia="Calibri" w:hAnsi="Calibri"/>
                <w:sz w:val="19"/>
                <w:szCs w:val="19"/>
              </w:rPr>
              <w:t xml:space="preserve">  Available: </w:t>
            </w:r>
            <w:r>
              <w:rPr>
                <w:rFonts w:ascii="Calibri" w:cs="Calibri" w:eastAsia="Calibri" w:hAnsi="Calibri"/>
                <w:b/>
                <w:bCs/>
                <w:sz w:val="19"/>
                <w:szCs w:val="19"/>
              </w:rPr>
              <w:t xml:space="preserve">[NUMBER]</w:t>
            </w:r>
          </w:p>
        </w:tc>
      </w:tr>
      <w:tr>
        <w:trPr>
          <w:cantSplit/>
        </w:trPr>
        <w:tc>
          <w:tcPr>
            <w:tcW w:type="dxa" w:w="3469"/>
            <w:tcMar>
              <w:top w:type="dxa" w:w="70"/>
              <w:left w:type="dxa" w:w="100"/>
              <w:bottom w:type="dxa" w:w="70"/>
              <w:right w:type="dxa" w:w="100"/>
            </w:tcMar>
            <w:vAlign w:val="center"/>
          </w:tcPr>
          <w:p>
            <w:pPr>
              <w:spacing w:after="0" w:line="240"/>
              <w:jc w:val="left"/>
            </w:pPr>
            <w:r>
              <w:rPr>
                <w:rFonts w:ascii="Calibri" w:cs="Calibri" w:eastAsia="Calibri" w:hAnsi="Calibri"/>
                <w:sz w:val="19"/>
                <w:szCs w:val="19"/>
              </w:rPr>
              <w:t xml:space="preserve">Vesting</w:t>
            </w:r>
          </w:p>
        </w:tc>
        <w:tc>
          <w:tcPr>
            <w:tcW w:type="dxa" w:w="6169"/>
            <w:tcMar>
              <w:top w:type="dxa" w:w="70"/>
              <w:left w:type="dxa" w:w="100"/>
              <w:bottom w:type="dxa" w:w="70"/>
              <w:right w:type="dxa" w:w="100"/>
            </w:tcMar>
            <w:vAlign w:val="center"/>
          </w:tcPr>
          <w:p>
            <w:pPr>
              <w:spacing w:after="0" w:line="240"/>
              <w:jc w:val="left"/>
            </w:pPr>
            <w:r>
              <w:rPr>
                <w:rFonts w:ascii="Calibri" w:cs="Calibri" w:eastAsia="Calibri" w:hAnsi="Calibri"/>
                <w:b/>
                <w:bCs/>
                <w:sz w:val="19"/>
                <w:szCs w:val="19"/>
              </w:rPr>
              <w:t xml:space="preserve">[4]</w:t>
            </w:r>
            <w:r>
              <w:rPr>
                <w:rFonts w:ascii="Calibri" w:cs="Calibri" w:eastAsia="Calibri" w:hAnsi="Calibri"/>
                <w:sz w:val="19"/>
                <w:szCs w:val="19"/>
              </w:rPr>
              <w:t xml:space="preserve"> years, </w:t>
            </w:r>
            <w:r>
              <w:rPr>
                <w:rFonts w:ascii="Calibri" w:cs="Calibri" w:eastAsia="Calibri" w:hAnsi="Calibri"/>
                <w:b/>
                <w:bCs/>
                <w:sz w:val="19"/>
                <w:szCs w:val="19"/>
              </w:rPr>
              <w:t xml:space="preserve">[12]</w:t>
            </w:r>
            <w:r>
              <w:rPr>
                <w:rFonts w:ascii="Calibri" w:cs="Calibri" w:eastAsia="Calibri" w:hAnsi="Calibri"/>
                <w:sz w:val="19"/>
                <w:szCs w:val="19"/>
              </w:rPr>
              <w:t xml:space="preserve">-month cliff, then monthly</w:t>
            </w:r>
          </w:p>
        </w:tc>
      </w:tr>
      <w:tr>
        <w:trPr>
          <w:cantSplit/>
        </w:trPr>
        <w:tc>
          <w:tcPr>
            <w:tcW w:type="dxa" w:w="3469"/>
            <w:tcMar>
              <w:top w:type="dxa" w:w="70"/>
              <w:left w:type="dxa" w:w="100"/>
              <w:bottom w:type="dxa" w:w="70"/>
              <w:right w:type="dxa" w:w="100"/>
            </w:tcMar>
            <w:vAlign w:val="center"/>
          </w:tcPr>
          <w:p>
            <w:pPr>
              <w:spacing w:after="0" w:line="240"/>
              <w:jc w:val="left"/>
            </w:pPr>
            <w:r>
              <w:rPr>
                <w:rFonts w:ascii="Calibri" w:cs="Calibri" w:eastAsia="Calibri" w:hAnsi="Calibri"/>
                <w:sz w:val="19"/>
                <w:szCs w:val="19"/>
              </w:rPr>
              <w:t xml:space="preserve">Exercise price</w:t>
            </w:r>
          </w:p>
        </w:tc>
        <w:tc>
          <w:tcPr>
            <w:tcW w:type="dxa" w:w="6169"/>
            <w:tcMar>
              <w:top w:type="dxa" w:w="70"/>
              <w:left w:type="dxa" w:w="100"/>
              <w:bottom w:type="dxa" w:w="70"/>
              <w:right w:type="dxa" w:w="100"/>
            </w:tcMar>
            <w:vAlign w:val="center"/>
          </w:tcPr>
          <w:p>
            <w:pPr>
              <w:spacing w:after="0" w:line="240"/>
              <w:jc w:val="left"/>
            </w:pPr>
            <w:r>
              <w:rPr>
                <w:rFonts w:ascii="Calibri" w:cs="Calibri" w:eastAsia="Calibri" w:hAnsi="Calibri"/>
                <w:b/>
                <w:bCs/>
                <w:sz w:val="19"/>
                <w:szCs w:val="19"/>
              </w:rPr>
              <w:t xml:space="preserve">[Fair market value at grant / nominal]</w:t>
            </w:r>
          </w:p>
        </w:tc>
      </w:tr>
      <w:tr>
        <w:trPr>
          <w:cantSplit/>
        </w:trPr>
        <w:tc>
          <w:tcPr>
            <w:tcW w:type="dxa" w:w="3469"/>
            <w:tcMar>
              <w:top w:type="dxa" w:w="70"/>
              <w:left w:type="dxa" w:w="100"/>
              <w:bottom w:type="dxa" w:w="70"/>
              <w:right w:type="dxa" w:w="100"/>
            </w:tcMar>
            <w:vAlign w:val="center"/>
          </w:tcPr>
          <w:p>
            <w:pPr>
              <w:spacing w:after="0" w:line="240"/>
              <w:jc w:val="left"/>
            </w:pPr>
            <w:r>
              <w:rPr>
                <w:rFonts w:ascii="Calibri" w:cs="Calibri" w:eastAsia="Calibri" w:hAnsi="Calibri"/>
                <w:sz w:val="19"/>
                <w:szCs w:val="19"/>
              </w:rPr>
              <w:t xml:space="preserve">Exercise window after leaving</w:t>
            </w:r>
          </w:p>
        </w:tc>
        <w:tc>
          <w:tcPr>
            <w:tcW w:type="dxa" w:w="6169"/>
            <w:tcMar>
              <w:top w:type="dxa" w:w="70"/>
              <w:left w:type="dxa" w:w="100"/>
              <w:bottom w:type="dxa" w:w="70"/>
              <w:right w:type="dxa" w:w="100"/>
            </w:tcMar>
            <w:vAlign w:val="center"/>
          </w:tcPr>
          <w:p>
            <w:pPr>
              <w:spacing w:after="0" w:line="240"/>
              <w:jc w:val="left"/>
            </w:pPr>
            <w:r>
              <w:rPr>
                <w:rFonts w:ascii="Calibri" w:cs="Calibri" w:eastAsia="Calibri" w:hAnsi="Calibri"/>
                <w:b/>
                <w:bCs/>
                <w:sz w:val="19"/>
                <w:szCs w:val="19"/>
              </w:rPr>
              <w:t xml:space="preserve">[PERIOD]</w:t>
            </w:r>
          </w:p>
        </w:tc>
      </w:tr>
      <w:tr>
        <w:trPr>
          <w:cantSplit/>
        </w:trPr>
        <w:tc>
          <w:tcPr>
            <w:tcW w:type="dxa" w:w="3469"/>
            <w:tcMar>
              <w:top w:type="dxa" w:w="70"/>
              <w:left w:type="dxa" w:w="100"/>
              <w:bottom w:type="dxa" w:w="70"/>
              <w:right w:type="dxa" w:w="100"/>
            </w:tcMar>
            <w:vAlign w:val="center"/>
          </w:tcPr>
          <w:p>
            <w:pPr>
              <w:spacing w:after="0" w:line="240"/>
              <w:jc w:val="left"/>
            </w:pPr>
            <w:r>
              <w:rPr>
                <w:rFonts w:ascii="Calibri" w:cs="Calibri" w:eastAsia="Calibri" w:hAnsi="Calibri"/>
                <w:sz w:val="19"/>
                <w:szCs w:val="19"/>
              </w:rPr>
              <w:t xml:space="preserve">Approved by</w:t>
            </w:r>
          </w:p>
        </w:tc>
        <w:tc>
          <w:tcPr>
            <w:tcW w:type="dxa" w:w="6169"/>
            <w:tcMar>
              <w:top w:type="dxa" w:w="70"/>
              <w:left w:type="dxa" w:w="100"/>
              <w:bottom w:type="dxa" w:w="70"/>
              <w:right w:type="dxa" w:w="100"/>
            </w:tcMar>
            <w:vAlign w:val="center"/>
          </w:tcPr>
          <w:p>
            <w:pPr>
              <w:spacing w:after="0" w:line="240"/>
              <w:jc w:val="left"/>
            </w:pPr>
            <w:r>
              <w:rPr>
                <w:rFonts w:ascii="Calibri" w:cs="Calibri" w:eastAsia="Calibri" w:hAnsi="Calibri"/>
                <w:b/>
                <w:bCs/>
                <w:sz w:val="19"/>
                <w:szCs w:val="19"/>
              </w:rPr>
              <w:t xml:space="preserve">[NAME]</w:t>
            </w:r>
            <w:r>
              <w:rPr>
                <w:rFonts w:ascii="Calibri" w:cs="Calibri" w:eastAsia="Calibri" w:hAnsi="Calibri"/>
                <w:sz w:val="19"/>
                <w:szCs w:val="19"/>
              </w:rPr>
              <w:t xml:space="preserve">, </w:t>
            </w:r>
            <w:r>
              <w:rPr>
                <w:rFonts w:ascii="Calibri" w:cs="Calibri" w:eastAsia="Calibri" w:hAnsi="Calibri"/>
                <w:b/>
                <w:bCs/>
                <w:sz w:val="19"/>
                <w:szCs w:val="19"/>
              </w:rPr>
              <w:t xml:space="preserve">[DESIGNATION]</w:t>
            </w:r>
            <w:r>
              <w:rPr>
                <w:rFonts w:ascii="Calibri" w:cs="Calibri" w:eastAsia="Calibri" w:hAnsi="Calibri"/>
                <w:sz w:val="19"/>
                <w:szCs w:val="19"/>
              </w:rPr>
              <w:t xml:space="preserve">, on </w:t>
            </w:r>
            <w:r>
              <w:rPr>
                <w:rFonts w:ascii="Calibri" w:cs="Calibri" w:eastAsia="Calibri" w:hAnsi="Calibri"/>
                <w:b/>
                <w:bCs/>
                <w:sz w:val="19"/>
                <w:szCs w:val="19"/>
              </w:rPr>
              <w:t xml:space="preserve">[DATE]</w:t>
            </w:r>
          </w:p>
        </w:tc>
      </w:tr>
      <w:tr>
        <w:trPr>
          <w:cantSplit/>
        </w:trPr>
        <w:tc>
          <w:tcPr>
            <w:tcW w:type="dxa" w:w="3469"/>
            <w:tcMar>
              <w:top w:type="dxa" w:w="70"/>
              <w:left w:type="dxa" w:w="100"/>
              <w:bottom w:type="dxa" w:w="70"/>
              <w:right w:type="dxa" w:w="100"/>
            </w:tcMar>
            <w:vAlign w:val="center"/>
          </w:tcPr>
          <w:p>
            <w:pPr>
              <w:spacing w:after="0" w:line="240"/>
              <w:jc w:val="left"/>
            </w:pPr>
            <w:r>
              <w:rPr>
                <w:rFonts w:ascii="Calibri" w:cs="Calibri" w:eastAsia="Calibri" w:hAnsi="Calibri"/>
                <w:sz w:val="19"/>
                <w:szCs w:val="19"/>
              </w:rPr>
              <w:t xml:space="preserve">Tax position confirmed</w:t>
            </w:r>
          </w:p>
        </w:tc>
        <w:tc>
          <w:tcPr>
            <w:tcW w:type="dxa" w:w="6169"/>
            <w:tcMar>
              <w:top w:type="dxa" w:w="70"/>
              <w:left w:type="dxa" w:w="100"/>
              <w:bottom w:type="dxa" w:w="70"/>
              <w:right w:type="dxa" w:w="100"/>
            </w:tcMar>
            <w:vAlign w:val="center"/>
          </w:tcPr>
          <w:p>
            <w:pPr>
              <w:spacing w:after="0" w:line="240"/>
              <w:jc w:val="left"/>
            </w:pPr>
            <w:r>
              <w:rPr>
                <w:rFonts w:ascii="Calibri" w:cs="Calibri" w:eastAsia="Calibri" w:hAnsi="Calibri"/>
                <w:b/>
                <w:bCs/>
                <w:sz w:val="19"/>
                <w:szCs w:val="19"/>
              </w:rPr>
              <w:t xml:space="preserve">[DATE]</w:t>
            </w:r>
            <w:r>
              <w:rPr>
                <w:rFonts w:ascii="Calibri" w:cs="Calibri" w:eastAsia="Calibri" w:hAnsi="Calibri"/>
                <w:sz w:val="19"/>
                <w:szCs w:val="19"/>
              </w:rPr>
              <w:t xml:space="preserve"> — </w:t>
            </w:r>
            <w:r>
              <w:rPr>
                <w:rFonts w:ascii="Calibri" w:cs="Calibri" w:eastAsia="Calibri" w:hAnsi="Calibri"/>
                <w:i/>
                <w:iCs/>
                <w:sz w:val="19"/>
                <w:szCs w:val="19"/>
              </w:rPr>
              <w:t xml:space="preserve">see Section 5</w:t>
            </w:r>
          </w:p>
        </w:tc>
      </w:tr>
    </w:tbl>
    <w:p>
      <w:pPr>
        <w:spacing w:after="180"/>
      </w:pPr>
    </w:p>
    <w:p>
      <w:pPr>
        <w:keepNext/>
        <w:spacing w:after="120" w:before="280"/>
        <w:outlineLvl w:val="0"/>
      </w:pPr>
      <w:r>
        <w:rPr>
          <w:rFonts w:ascii="Calibri" w:cs="Calibri" w:eastAsia="Calibri" w:hAnsi="Calibri"/>
          <w:b/>
          <w:bCs/>
          <w:color w:val="14161B"/>
          <w:sz w:val="22"/>
          <w:szCs w:val="22"/>
        </w:rPr>
        <w:t xml:space="preserve">1. CHOOSING THE INSTRUMENT</w:t>
      </w:r>
    </w:p>
    <w:tbl>
      <w:tblPr>
        <w:tblW w:type="dxa" w:w="9638"/>
        <w:tblBorders>
          <w:top w:val="single" w:color="B9BEC8" w:sz="4"/>
          <w:left w:val="single" w:color="B9BEC8" w:sz="4"/>
          <w:bottom w:val="single" w:color="B9BEC8" w:sz="4"/>
          <w:right w:val="single" w:color="B9BEC8" w:sz="4"/>
          <w:insideH w:val="single" w:color="D3D7DF" w:sz="2"/>
          <w:insideV w:val="single" w:color="D3D7DF" w:sz="2"/>
        </w:tblBorders>
      </w:tblPr>
      <w:tblGrid>
        <w:gridCol w:w="1927"/>
        <w:gridCol w:w="2698"/>
        <w:gridCol w:w="2313"/>
        <w:gridCol w:w="2700"/>
      </w:tblGrid>
      <w:tr>
        <w:trPr>
          <w:cantSplit/>
          <w:tblHeader/>
        </w:trPr>
        <w:tc>
          <w:tcPr>
            <w:tcW w:type="dxa" w:w="1927"/>
            <w:shd w:fill="EEF1FE" w:color="auto" w:val="clear"/>
            <w:tcMar>
              <w:top w:type="dxa" w:w="70"/>
              <w:left w:type="dxa" w:w="100"/>
              <w:bottom w:type="dxa" w:w="70"/>
              <w:right w:type="dxa" w:w="100"/>
            </w:tcMar>
            <w:vAlign w:val="center"/>
          </w:tcPr>
          <w:p>
            <w:pPr>
              <w:spacing w:after="0" w:line="240"/>
              <w:jc w:val="left"/>
            </w:pPr>
            <w:r>
              <w:rPr>
                <w:rFonts w:ascii="Calibri" w:cs="Calibri" w:eastAsia="Calibri" w:hAnsi="Calibri"/>
                <w:b/>
                <w:bCs/>
                <w:sz w:val="16"/>
                <w:szCs w:val="16"/>
              </w:rPr>
              <w:t xml:space="preserve">Instrument</w:t>
            </w:r>
          </w:p>
        </w:tc>
        <w:tc>
          <w:tcPr>
            <w:tcW w:type="dxa" w:w="2698"/>
            <w:shd w:fill="EEF1FE" w:color="auto" w:val="clear"/>
            <w:tcMar>
              <w:top w:type="dxa" w:w="70"/>
              <w:left w:type="dxa" w:w="100"/>
              <w:bottom w:type="dxa" w:w="70"/>
              <w:right w:type="dxa" w:w="100"/>
            </w:tcMar>
            <w:vAlign w:val="center"/>
          </w:tcPr>
          <w:p>
            <w:pPr>
              <w:spacing w:after="0" w:line="240"/>
              <w:jc w:val="left"/>
            </w:pPr>
            <w:r>
              <w:rPr>
                <w:rFonts w:ascii="Calibri" w:cs="Calibri" w:eastAsia="Calibri" w:hAnsi="Calibri"/>
                <w:b/>
                <w:bCs/>
                <w:sz w:val="16"/>
                <w:szCs w:val="16"/>
              </w:rPr>
              <w:t xml:space="preserve">How it works</w:t>
            </w:r>
          </w:p>
        </w:tc>
        <w:tc>
          <w:tcPr>
            <w:tcW w:type="dxa" w:w="2313"/>
            <w:shd w:fill="EEF1FE" w:color="auto" w:val="clear"/>
            <w:tcMar>
              <w:top w:type="dxa" w:w="70"/>
              <w:left w:type="dxa" w:w="100"/>
              <w:bottom w:type="dxa" w:w="70"/>
              <w:right w:type="dxa" w:w="100"/>
            </w:tcMar>
            <w:vAlign w:val="center"/>
          </w:tcPr>
          <w:p>
            <w:pPr>
              <w:spacing w:after="0" w:line="240"/>
              <w:jc w:val="left"/>
            </w:pPr>
            <w:r>
              <w:rPr>
                <w:rFonts w:ascii="Calibri" w:cs="Calibri" w:eastAsia="Calibri" w:hAnsi="Calibri"/>
                <w:b/>
                <w:bCs/>
                <w:sz w:val="16"/>
                <w:szCs w:val="16"/>
              </w:rPr>
              <w:t xml:space="preserve">Suits</w:t>
            </w:r>
          </w:p>
        </w:tc>
        <w:tc>
          <w:tcPr>
            <w:tcW w:type="dxa" w:w="2700"/>
            <w:shd w:fill="EEF1FE" w:color="auto" w:val="clear"/>
            <w:tcMar>
              <w:top w:type="dxa" w:w="70"/>
              <w:left w:type="dxa" w:w="100"/>
              <w:bottom w:type="dxa" w:w="70"/>
              <w:right w:type="dxa" w:w="100"/>
            </w:tcMar>
            <w:vAlign w:val="center"/>
          </w:tcPr>
          <w:p>
            <w:pPr>
              <w:spacing w:after="0" w:line="240"/>
              <w:jc w:val="left"/>
            </w:pPr>
            <w:r>
              <w:rPr>
                <w:rFonts w:ascii="Calibri" w:cs="Calibri" w:eastAsia="Calibri" w:hAnsi="Calibri"/>
                <w:b/>
                <w:bCs/>
                <w:sz w:val="16"/>
                <w:szCs w:val="16"/>
              </w:rPr>
              <w:t xml:space="preserve">Problems</w:t>
            </w:r>
          </w:p>
        </w:tc>
      </w:tr>
      <w:tr>
        <w:trPr>
          <w:cantSplit/>
        </w:trPr>
        <w:tc>
          <w:tcPr>
            <w:tcW w:type="dxa" w:w="1927"/>
            <w:tcMar>
              <w:top w:type="dxa" w:w="70"/>
              <w:left w:type="dxa" w:w="100"/>
              <w:bottom w:type="dxa" w:w="70"/>
              <w:right w:type="dxa" w:w="100"/>
            </w:tcMar>
            <w:vAlign w:val="center"/>
          </w:tcPr>
          <w:p>
            <w:pPr>
              <w:spacing w:after="0" w:line="240"/>
              <w:jc w:val="left"/>
            </w:pPr>
            <w:r>
              <w:rPr>
                <w:rFonts w:ascii="Calibri" w:cs="Calibri" w:eastAsia="Calibri" w:hAnsi="Calibri"/>
                <w:b/>
                <w:bCs/>
                <w:sz w:val="16"/>
                <w:szCs w:val="16"/>
              </w:rPr>
              <w:t xml:space="preserve">Share options</w:t>
            </w:r>
          </w:p>
        </w:tc>
        <w:tc>
          <w:tcPr>
            <w:tcW w:type="dxa" w:w="2698"/>
            <w:tcMar>
              <w:top w:type="dxa" w:w="70"/>
              <w:left w:type="dxa" w:w="100"/>
              <w:bottom w:type="dxa" w:w="70"/>
              <w:right w:type="dxa" w:w="100"/>
            </w:tcMar>
            <w:vAlign w:val="center"/>
          </w:tcPr>
          <w:p>
            <w:pPr>
              <w:spacing w:after="0" w:line="240"/>
              <w:jc w:val="left"/>
            </w:pPr>
            <w:r>
              <w:rPr>
                <w:rFonts w:ascii="Calibri" w:cs="Calibri" w:eastAsia="Calibri" w:hAnsi="Calibri"/>
                <w:sz w:val="16"/>
                <w:szCs w:val="16"/>
              </w:rPr>
              <w:t xml:space="preserve">Right to buy shares at a set price after vesting</w:t>
            </w:r>
          </w:p>
        </w:tc>
        <w:tc>
          <w:tcPr>
            <w:tcW w:type="dxa" w:w="2313"/>
            <w:tcMar>
              <w:top w:type="dxa" w:w="70"/>
              <w:left w:type="dxa" w:w="100"/>
              <w:bottom w:type="dxa" w:w="70"/>
              <w:right w:type="dxa" w:w="100"/>
            </w:tcMar>
            <w:vAlign w:val="center"/>
          </w:tcPr>
          <w:p>
            <w:pPr>
              <w:spacing w:after="0" w:line="240"/>
              <w:jc w:val="left"/>
            </w:pPr>
            <w:r>
              <w:rPr>
                <w:rFonts w:ascii="Calibri" w:cs="Calibri" w:eastAsia="Calibri" w:hAnsi="Calibri"/>
                <w:sz w:val="16"/>
                <w:szCs w:val="16"/>
              </w:rPr>
              <w:t xml:space="preserve">DIFC, ADGM, free zone or offshore entities</w:t>
            </w:r>
          </w:p>
        </w:tc>
        <w:tc>
          <w:tcPr>
            <w:tcW w:type="dxa" w:w="2700"/>
            <w:tcMar>
              <w:top w:type="dxa" w:w="70"/>
              <w:left w:type="dxa" w:w="100"/>
              <w:bottom w:type="dxa" w:w="70"/>
              <w:right w:type="dxa" w:w="100"/>
            </w:tcMar>
            <w:vAlign w:val="center"/>
          </w:tcPr>
          <w:p>
            <w:pPr>
              <w:spacing w:after="0" w:line="240"/>
              <w:jc w:val="left"/>
            </w:pPr>
            <w:r>
              <w:rPr>
                <w:rFonts w:ascii="Calibri" w:cs="Calibri" w:eastAsia="Calibri" w:hAnsi="Calibri"/>
                <w:b/>
                <w:bCs/>
                <w:sz w:val="16"/>
                <w:szCs w:val="16"/>
              </w:rPr>
              <w:t xml:space="preserve">Impractical over a mainland LLC</w:t>
            </w:r>
            <w:r>
              <w:rPr>
                <w:rFonts w:ascii="Calibri" w:cs="Calibri" w:eastAsia="Calibri" w:hAnsi="Calibri"/>
                <w:sz w:val="16"/>
                <w:szCs w:val="16"/>
              </w:rPr>
              <w:t xml:space="preserve"> — notarised transfers on every exercise</w:t>
            </w:r>
          </w:p>
        </w:tc>
      </w:tr>
      <w:tr>
        <w:trPr>
          <w:cantSplit/>
        </w:trPr>
        <w:tc>
          <w:tcPr>
            <w:tcW w:type="dxa" w:w="1927"/>
            <w:tcMar>
              <w:top w:type="dxa" w:w="70"/>
              <w:left w:type="dxa" w:w="100"/>
              <w:bottom w:type="dxa" w:w="70"/>
              <w:right w:type="dxa" w:w="100"/>
            </w:tcMar>
            <w:vAlign w:val="center"/>
          </w:tcPr>
          <w:p>
            <w:pPr>
              <w:spacing w:after="0" w:line="240"/>
              <w:jc w:val="left"/>
            </w:pPr>
            <w:r>
              <w:rPr>
                <w:rFonts w:ascii="Calibri" w:cs="Calibri" w:eastAsia="Calibri" w:hAnsi="Calibri"/>
                <w:b/>
                <w:bCs/>
                <w:sz w:val="16"/>
                <w:szCs w:val="16"/>
              </w:rPr>
              <w:t xml:space="preserve">Share awards</w:t>
            </w:r>
          </w:p>
        </w:tc>
        <w:tc>
          <w:tcPr>
            <w:tcW w:type="dxa" w:w="2698"/>
            <w:tcMar>
              <w:top w:type="dxa" w:w="70"/>
              <w:left w:type="dxa" w:w="100"/>
              <w:bottom w:type="dxa" w:w="70"/>
              <w:right w:type="dxa" w:w="100"/>
            </w:tcMar>
            <w:vAlign w:val="center"/>
          </w:tcPr>
          <w:p>
            <w:pPr>
              <w:spacing w:after="0" w:line="240"/>
              <w:jc w:val="left"/>
            </w:pPr>
            <w:r>
              <w:rPr>
                <w:rFonts w:ascii="Calibri" w:cs="Calibri" w:eastAsia="Calibri" w:hAnsi="Calibri"/>
                <w:sz w:val="16"/>
                <w:szCs w:val="16"/>
              </w:rPr>
              <w:t xml:space="preserve">Shares issued on vesting, no exercise price</w:t>
            </w:r>
          </w:p>
        </w:tc>
        <w:tc>
          <w:tcPr>
            <w:tcW w:type="dxa" w:w="2313"/>
            <w:tcMar>
              <w:top w:type="dxa" w:w="70"/>
              <w:left w:type="dxa" w:w="100"/>
              <w:bottom w:type="dxa" w:w="70"/>
              <w:right w:type="dxa" w:w="100"/>
            </w:tcMar>
            <w:vAlign w:val="center"/>
          </w:tcPr>
          <w:p>
            <w:pPr>
              <w:spacing w:after="0" w:line="240"/>
              <w:jc w:val="left"/>
            </w:pPr>
            <w:r>
              <w:rPr>
                <w:rFonts w:ascii="Calibri" w:cs="Calibri" w:eastAsia="Calibri" w:hAnsi="Calibri"/>
                <w:sz w:val="16"/>
                <w:szCs w:val="16"/>
              </w:rPr>
              <w:t xml:space="preserve">Same entities</w:t>
            </w:r>
          </w:p>
        </w:tc>
        <w:tc>
          <w:tcPr>
            <w:tcW w:type="dxa" w:w="2700"/>
            <w:tcMar>
              <w:top w:type="dxa" w:w="70"/>
              <w:left w:type="dxa" w:w="100"/>
              <w:bottom w:type="dxa" w:w="70"/>
              <w:right w:type="dxa" w:w="100"/>
            </w:tcMar>
            <w:vAlign w:val="center"/>
          </w:tcPr>
          <w:p>
            <w:pPr>
              <w:spacing w:after="0" w:line="240"/>
              <w:jc w:val="left"/>
            </w:pPr>
            <w:r>
              <w:rPr>
                <w:rFonts w:ascii="Calibri" w:cs="Calibri" w:eastAsia="Calibri" w:hAnsi="Calibri"/>
                <w:sz w:val="16"/>
                <w:szCs w:val="16"/>
              </w:rPr>
              <w:t xml:space="preserve">Same mainland problem; employee holds shares from vesting</w:t>
            </w:r>
          </w:p>
        </w:tc>
      </w:tr>
      <w:tr>
        <w:trPr>
          <w:cantSplit/>
        </w:trPr>
        <w:tc>
          <w:tcPr>
            <w:tcW w:type="dxa" w:w="1927"/>
            <w:tcMar>
              <w:top w:type="dxa" w:w="70"/>
              <w:left w:type="dxa" w:w="100"/>
              <w:bottom w:type="dxa" w:w="70"/>
              <w:right w:type="dxa" w:w="100"/>
            </w:tcMar>
            <w:vAlign w:val="center"/>
          </w:tcPr>
          <w:p>
            <w:pPr>
              <w:spacing w:after="0" w:line="240"/>
              <w:jc w:val="left"/>
            </w:pPr>
            <w:r>
              <w:rPr>
                <w:rFonts w:ascii="Calibri" w:cs="Calibri" w:eastAsia="Calibri" w:hAnsi="Calibri"/>
                <w:b/>
                <w:bCs/>
                <w:sz w:val="16"/>
                <w:szCs w:val="16"/>
              </w:rPr>
              <w:t xml:space="preserve">Phantom / cash-settled</w:t>
            </w:r>
          </w:p>
        </w:tc>
        <w:tc>
          <w:tcPr>
            <w:tcW w:type="dxa" w:w="2698"/>
            <w:tcMar>
              <w:top w:type="dxa" w:w="70"/>
              <w:left w:type="dxa" w:w="100"/>
              <w:bottom w:type="dxa" w:w="70"/>
              <w:right w:type="dxa" w:w="100"/>
            </w:tcMar>
            <w:vAlign w:val="center"/>
          </w:tcPr>
          <w:p>
            <w:pPr>
              <w:spacing w:after="0" w:line="240"/>
              <w:jc w:val="left"/>
            </w:pPr>
            <w:r>
              <w:rPr>
                <w:rFonts w:ascii="Calibri" w:cs="Calibri" w:eastAsia="Calibri" w:hAnsi="Calibri"/>
                <w:sz w:val="16"/>
                <w:szCs w:val="16"/>
              </w:rPr>
              <w:t xml:space="preserve">A contractual right to a </w:t>
            </w:r>
            <w:r>
              <w:rPr>
                <w:rFonts w:ascii="Calibri" w:cs="Calibri" w:eastAsia="Calibri" w:hAnsi="Calibri"/>
                <w:b/>
                <w:bCs/>
                <w:sz w:val="16"/>
                <w:szCs w:val="16"/>
              </w:rPr>
              <w:t xml:space="preserve">cash payment</w:t>
            </w:r>
            <w:r>
              <w:rPr>
                <w:rFonts w:ascii="Calibri" w:cs="Calibri" w:eastAsia="Calibri" w:hAnsi="Calibri"/>
                <w:sz w:val="16"/>
                <w:szCs w:val="16"/>
              </w:rPr>
              <w:t xml:space="preserve"> tracking share value</w:t>
            </w:r>
          </w:p>
        </w:tc>
        <w:tc>
          <w:tcPr>
            <w:tcW w:type="dxa" w:w="2313"/>
            <w:tcMar>
              <w:top w:type="dxa" w:w="70"/>
              <w:left w:type="dxa" w:w="100"/>
              <w:bottom w:type="dxa" w:w="70"/>
              <w:right w:type="dxa" w:w="100"/>
            </w:tcMar>
            <w:vAlign w:val="center"/>
          </w:tcPr>
          <w:p>
            <w:pPr>
              <w:spacing w:after="0" w:line="240"/>
              <w:jc w:val="left"/>
            </w:pPr>
            <w:r>
              <w:rPr>
                <w:rFonts w:ascii="Calibri" w:cs="Calibri" w:eastAsia="Calibri" w:hAnsi="Calibri"/>
                <w:b/>
                <w:bCs/>
                <w:sz w:val="16"/>
                <w:szCs w:val="16"/>
              </w:rPr>
              <w:t xml:space="preserve">Mainland LLCs</w:t>
            </w:r>
            <w:r>
              <w:rPr>
                <w:rFonts w:ascii="Calibri" w:cs="Calibri" w:eastAsia="Calibri" w:hAnsi="Calibri"/>
                <w:sz w:val="16"/>
                <w:szCs w:val="16"/>
              </w:rPr>
              <w:t xml:space="preserve">; any entity avoiding share mechanics</w:t>
            </w:r>
          </w:p>
        </w:tc>
        <w:tc>
          <w:tcPr>
            <w:tcW w:type="dxa" w:w="2700"/>
            <w:tcMar>
              <w:top w:type="dxa" w:w="70"/>
              <w:left w:type="dxa" w:w="100"/>
              <w:bottom w:type="dxa" w:w="70"/>
              <w:right w:type="dxa" w:w="100"/>
            </w:tcMar>
            <w:vAlign w:val="center"/>
          </w:tcPr>
          <w:p>
            <w:pPr>
              <w:spacing w:after="0" w:line="240"/>
              <w:jc w:val="left"/>
            </w:pPr>
            <w:r>
              <w:rPr>
                <w:rFonts w:ascii="Calibri" w:cs="Calibri" w:eastAsia="Calibri" w:hAnsi="Calibri"/>
                <w:sz w:val="16"/>
                <w:szCs w:val="16"/>
              </w:rPr>
              <w:t xml:space="preserve">No real ownership; funded from cash at the exit</w:t>
            </w:r>
          </w:p>
        </w:tc>
      </w:tr>
      <w:tr>
        <w:trPr>
          <w:cantSplit/>
        </w:trPr>
        <w:tc>
          <w:tcPr>
            <w:tcW w:type="dxa" w:w="1927"/>
            <w:tcMar>
              <w:top w:type="dxa" w:w="70"/>
              <w:left w:type="dxa" w:w="100"/>
              <w:bottom w:type="dxa" w:w="70"/>
              <w:right w:type="dxa" w:w="100"/>
            </w:tcMar>
            <w:vAlign w:val="center"/>
          </w:tcPr>
          <w:p>
            <w:pPr>
              <w:spacing w:after="0" w:line="240"/>
              <w:jc w:val="left"/>
            </w:pPr>
            <w:r>
              <w:rPr>
                <w:rFonts w:ascii="Calibri" w:cs="Calibri" w:eastAsia="Calibri" w:hAnsi="Calibri"/>
                <w:b/>
                <w:bCs/>
                <w:sz w:val="16"/>
                <w:szCs w:val="16"/>
              </w:rPr>
              <w:t xml:space="preserve">Growth or exit bonus</w:t>
            </w:r>
          </w:p>
        </w:tc>
        <w:tc>
          <w:tcPr>
            <w:tcW w:type="dxa" w:w="2698"/>
            <w:tcMar>
              <w:top w:type="dxa" w:w="70"/>
              <w:left w:type="dxa" w:w="100"/>
              <w:bottom w:type="dxa" w:w="70"/>
              <w:right w:type="dxa" w:w="100"/>
            </w:tcMar>
            <w:vAlign w:val="center"/>
          </w:tcPr>
          <w:p>
            <w:pPr>
              <w:spacing w:after="0" w:line="240"/>
              <w:jc w:val="left"/>
            </w:pPr>
            <w:r>
              <w:rPr>
                <w:rFonts w:ascii="Calibri" w:cs="Calibri" w:eastAsia="Calibri" w:hAnsi="Calibri"/>
                <w:sz w:val="16"/>
                <w:szCs w:val="16"/>
              </w:rPr>
              <w:t xml:space="preserve">A defined share of exit proceeds, paid as a bonus</w:t>
            </w:r>
          </w:p>
        </w:tc>
        <w:tc>
          <w:tcPr>
            <w:tcW w:type="dxa" w:w="2313"/>
            <w:tcMar>
              <w:top w:type="dxa" w:w="70"/>
              <w:left w:type="dxa" w:w="100"/>
              <w:bottom w:type="dxa" w:w="70"/>
              <w:right w:type="dxa" w:w="100"/>
            </w:tcMar>
            <w:vAlign w:val="center"/>
          </w:tcPr>
          <w:p>
            <w:pPr>
              <w:spacing w:after="0" w:line="240"/>
              <w:jc w:val="left"/>
            </w:pPr>
            <w:r>
              <w:rPr>
                <w:rFonts w:ascii="Calibri" w:cs="Calibri" w:eastAsia="Calibri" w:hAnsi="Calibri"/>
                <w:sz w:val="16"/>
                <w:szCs w:val="16"/>
              </w:rPr>
              <w:t xml:space="preserve">Small teams; simple structures</w:t>
            </w:r>
          </w:p>
        </w:tc>
        <w:tc>
          <w:tcPr>
            <w:tcW w:type="dxa" w:w="2700"/>
            <w:tcMar>
              <w:top w:type="dxa" w:w="70"/>
              <w:left w:type="dxa" w:w="100"/>
              <w:bottom w:type="dxa" w:w="70"/>
              <w:right w:type="dxa" w:w="100"/>
            </w:tcMar>
            <w:vAlign w:val="center"/>
          </w:tcPr>
          <w:p>
            <w:pPr>
              <w:spacing w:after="0" w:line="240"/>
              <w:jc w:val="left"/>
            </w:pPr>
            <w:r>
              <w:rPr>
                <w:rFonts w:ascii="Calibri" w:cs="Calibri" w:eastAsia="Calibri" w:hAnsi="Calibri"/>
                <w:sz w:val="16"/>
                <w:szCs w:val="16"/>
              </w:rPr>
              <w:t xml:space="preserve">Taxable as employment income where tax applies; no upside before exit</w:t>
            </w:r>
          </w:p>
        </w:tc>
      </w:tr>
      <w:tr>
        <w:trPr>
          <w:cantSplit/>
        </w:trPr>
        <w:tc>
          <w:tcPr>
            <w:tcW w:type="dxa" w:w="1927"/>
            <w:tcMar>
              <w:top w:type="dxa" w:w="70"/>
              <w:left w:type="dxa" w:w="100"/>
              <w:bottom w:type="dxa" w:w="70"/>
              <w:right w:type="dxa" w:w="100"/>
            </w:tcMar>
            <w:vAlign w:val="center"/>
          </w:tcPr>
          <w:p>
            <w:pPr>
              <w:spacing w:after="0" w:line="240"/>
              <w:jc w:val="left"/>
            </w:pPr>
            <w:r>
              <w:rPr>
                <w:rFonts w:ascii="Calibri" w:cs="Calibri" w:eastAsia="Calibri" w:hAnsi="Calibri"/>
                <w:b/>
                <w:bCs/>
                <w:sz w:val="16"/>
                <w:szCs w:val="16"/>
              </w:rPr>
              <w:t xml:space="preserve">Options at a holdco</w:t>
            </w:r>
          </w:p>
        </w:tc>
        <w:tc>
          <w:tcPr>
            <w:tcW w:type="dxa" w:w="2698"/>
            <w:tcMar>
              <w:top w:type="dxa" w:w="70"/>
              <w:left w:type="dxa" w:w="100"/>
              <w:bottom w:type="dxa" w:w="70"/>
              <w:right w:type="dxa" w:w="100"/>
            </w:tcMar>
            <w:vAlign w:val="center"/>
          </w:tcPr>
          <w:p>
            <w:pPr>
              <w:spacing w:after="0" w:line="240"/>
              <w:jc w:val="left"/>
            </w:pPr>
            <w:r>
              <w:rPr>
                <w:rFonts w:ascii="Calibri" w:cs="Calibri" w:eastAsia="Calibri" w:hAnsi="Calibri"/>
                <w:sz w:val="16"/>
                <w:szCs w:val="16"/>
              </w:rPr>
              <w:t xml:space="preserve">Options over the parent holding the UAE operating entity</w:t>
            </w:r>
          </w:p>
        </w:tc>
        <w:tc>
          <w:tcPr>
            <w:tcW w:type="dxa" w:w="2313"/>
            <w:tcMar>
              <w:top w:type="dxa" w:w="70"/>
              <w:left w:type="dxa" w:w="100"/>
              <w:bottom w:type="dxa" w:w="70"/>
              <w:right w:type="dxa" w:w="100"/>
            </w:tcMar>
            <w:vAlign w:val="center"/>
          </w:tcPr>
          <w:p>
            <w:pPr>
              <w:spacing w:after="0" w:line="240"/>
              <w:jc w:val="left"/>
            </w:pPr>
            <w:r>
              <w:rPr>
                <w:rFonts w:ascii="Calibri" w:cs="Calibri" w:eastAsia="Calibri" w:hAnsi="Calibri"/>
                <w:b/>
                <w:bCs/>
                <w:sz w:val="16"/>
                <w:szCs w:val="16"/>
              </w:rPr>
              <w:t xml:space="preserve">The usual answer for funded companies</w:t>
            </w:r>
          </w:p>
        </w:tc>
        <w:tc>
          <w:tcPr>
            <w:tcW w:type="dxa" w:w="2700"/>
            <w:tcMar>
              <w:top w:type="dxa" w:w="70"/>
              <w:left w:type="dxa" w:w="100"/>
              <w:bottom w:type="dxa" w:w="70"/>
              <w:right w:type="dxa" w:w="100"/>
            </w:tcMar>
            <w:vAlign w:val="center"/>
          </w:tcPr>
          <w:p>
            <w:pPr>
              <w:spacing w:after="0" w:line="240"/>
              <w:jc w:val="left"/>
            </w:pPr>
            <w:r>
              <w:rPr>
                <w:rFonts w:ascii="Calibri" w:cs="Calibri" w:eastAsia="Calibri" w:hAnsi="Calibri"/>
                <w:sz w:val="16"/>
                <w:szCs w:val="16"/>
              </w:rPr>
              <w:t xml:space="preserve">Requires the holdco to exist first</w:t>
            </w:r>
          </w:p>
        </w:tc>
      </w:tr>
    </w:tbl>
    <w:p>
      <w:pPr>
        <w:spacing w:after="140"/>
      </w:pPr>
    </w:p>
    <w:p>
      <w:pPr>
        <w:spacing w:after="120" w:before="60" w:line="276"/>
        <w:ind w:left="720" w:hanging="720"/>
        <w:jc w:val="both"/>
      </w:pPr>
      <w:r>
        <w:rPr>
          <w:rFonts w:ascii="Calibri" w:cs="Calibri" w:eastAsia="Calibri" w:hAnsi="Calibri"/>
          <w:sz w:val="21"/>
          <w:szCs w:val="21"/>
        </w:rPr>
        <w:t xml:space="preserve">1.1	</w:t>
      </w:r>
      <w:r>
        <w:rPr>
          <w:rFonts w:ascii="Calibri" w:cs="Calibri" w:eastAsia="Calibri" w:hAnsi="Calibri"/>
          <w:i/>
          <w:iCs/>
          <w:sz w:val="21"/>
          <w:szCs w:val="21"/>
        </w:rPr>
        <w:t xml:space="preserve">The mainland problem is mechanical, not legal. Nothing prohibits a mainland LLC granting options — but each exercise means a notarised share transfer, DED approval and a licence amendment, with the employee attending a notary. For twenty employees exercising small holdings, it does not work.</w:t>
      </w:r>
    </w:p>
    <w:p>
      <w:pPr>
        <w:spacing w:after="120" w:before="60" w:line="276"/>
        <w:ind w:left="720" w:hanging="720"/>
        <w:jc w:val="both"/>
      </w:pPr>
      <w:r>
        <w:rPr>
          <w:rFonts w:ascii="Calibri" w:cs="Calibri" w:eastAsia="Calibri" w:hAnsi="Calibri"/>
          <w:sz w:val="21"/>
          <w:szCs w:val="21"/>
        </w:rPr>
        <w:t xml:space="preserve">1.2	</w:t>
      </w:r>
      <w:r>
        <w:rPr>
          <w:rFonts w:ascii="Calibri" w:cs="Calibri" w:eastAsia="Calibri" w:hAnsi="Calibri"/>
          <w:b/>
          <w:bCs/>
          <w:sz w:val="21"/>
          <w:szCs w:val="21"/>
        </w:rPr>
        <w:t xml:space="preserve">Phantom plans are the practical mainland answer.</w:t>
      </w:r>
      <w:r>
        <w:rPr>
          <w:rFonts w:ascii="Calibri" w:cs="Calibri" w:eastAsia="Calibri" w:hAnsi="Calibri"/>
          <w:sz w:val="21"/>
          <w:szCs w:val="21"/>
        </w:rPr>
        <w:t xml:space="preserve"> The employee gets the economic benefit without any share transfer, and the company avoids the notarisation problem entirely.</w:t>
      </w:r>
    </w:p>
    <w:p>
      <w:pPr>
        <w:keepNext/>
        <w:spacing w:after="120" w:before="280"/>
        <w:outlineLvl w:val="0"/>
      </w:pPr>
      <w:r>
        <w:rPr>
          <w:rFonts w:ascii="Calibri" w:cs="Calibri" w:eastAsia="Calibri" w:hAnsi="Calibri"/>
          <w:b/>
          <w:bCs/>
          <w:color w:val="14161B"/>
          <w:sz w:val="22"/>
          <w:szCs w:val="22"/>
        </w:rPr>
        <w:t xml:space="preserve">2. SCHEME TERMS</w:t>
      </w:r>
    </w:p>
    <w:p>
      <w:pPr>
        <w:spacing w:after="120" w:before="60" w:line="276"/>
        <w:ind w:left="720" w:hanging="720"/>
        <w:jc w:val="both"/>
      </w:pPr>
      <w:r>
        <w:rPr>
          <w:rFonts w:ascii="Calibri" w:cs="Calibri" w:eastAsia="Calibri" w:hAnsi="Calibri"/>
          <w:sz w:val="21"/>
          <w:szCs w:val="21"/>
        </w:rPr>
        <w:t xml:space="preserve">2.1	</w:t>
      </w:r>
      <w:r>
        <w:rPr>
          <w:rFonts w:ascii="Calibri" w:cs="Calibri" w:eastAsia="Calibri" w:hAnsi="Calibri"/>
          <w:sz w:val="21"/>
          <w:szCs w:val="21"/>
        </w:rPr>
        <w:t xml:space="preserve">The Board </w:t>
      </w:r>
      <w:r>
        <w:rPr>
          <w:rFonts w:ascii="Calibri" w:cs="Calibri" w:eastAsia="Calibri" w:hAnsi="Calibri"/>
          <w:b/>
          <w:bCs/>
          <w:sz w:val="21"/>
          <w:szCs w:val="21"/>
        </w:rPr>
        <w:t xml:space="preserve">[or a Committee]</w:t>
      </w:r>
      <w:r>
        <w:rPr>
          <w:rFonts w:ascii="Calibri" w:cs="Calibri" w:eastAsia="Calibri" w:hAnsi="Calibri"/>
          <w:sz w:val="21"/>
          <w:szCs w:val="21"/>
        </w:rPr>
        <w:t xml:space="preserve"> administers the scheme and may grant options over the pool.</w:t>
      </w:r>
    </w:p>
    <w:p>
      <w:pPr>
        <w:spacing w:after="120" w:before="60" w:line="276"/>
        <w:ind w:left="720" w:hanging="720"/>
        <w:jc w:val="both"/>
      </w:pPr>
      <w:r>
        <w:rPr>
          <w:rFonts w:ascii="Calibri" w:cs="Calibri" w:eastAsia="Calibri" w:hAnsi="Calibri"/>
          <w:sz w:val="21"/>
          <w:szCs w:val="21"/>
        </w:rPr>
        <w:t xml:space="preserve">2.2	</w:t>
      </w:r>
      <w:r>
        <w:rPr>
          <w:rFonts w:ascii="Calibri" w:cs="Calibri" w:eastAsia="Calibri" w:hAnsi="Calibri"/>
          <w:sz w:val="21"/>
          <w:szCs w:val="21"/>
        </w:rPr>
        <w:t xml:space="preserve">Grants are made by written </w:t>
      </w:r>
      <w:r>
        <w:rPr>
          <w:rFonts w:ascii="Calibri" w:cs="Calibri" w:eastAsia="Calibri" w:hAnsi="Calibri"/>
          <w:b/>
          <w:bCs/>
          <w:sz w:val="21"/>
          <w:szCs w:val="21"/>
        </w:rPr>
        <w:t xml:space="preserve">Grant Letter</w:t>
      </w:r>
      <w:r>
        <w:rPr>
          <w:rFonts w:ascii="Calibri" w:cs="Calibri" w:eastAsia="Calibri" w:hAnsi="Calibri"/>
          <w:sz w:val="21"/>
          <w:szCs w:val="21"/>
        </w:rPr>
        <w:t xml:space="preserve"> stating the number, exercise price, vesting commencement date, vesting schedule, and exercise window.</w:t>
      </w:r>
    </w:p>
    <w:p>
      <w:pPr>
        <w:spacing w:after="120" w:before="60" w:line="276"/>
        <w:ind w:left="720" w:hanging="720"/>
        <w:jc w:val="both"/>
      </w:pPr>
      <w:r>
        <w:rPr>
          <w:rFonts w:ascii="Calibri" w:cs="Calibri" w:eastAsia="Calibri" w:hAnsi="Calibri"/>
          <w:sz w:val="21"/>
          <w:szCs w:val="21"/>
        </w:rPr>
        <w:t xml:space="preserve">2.3	</w:t>
      </w:r>
      <w:r>
        <w:rPr>
          <w:rFonts w:ascii="Calibri" w:cs="Calibri" w:eastAsia="Calibri" w:hAnsi="Calibri"/>
          <w:sz w:val="21"/>
          <w:szCs w:val="21"/>
        </w:rPr>
        <w:t xml:space="preserve">Options vest over </w:t>
      </w:r>
      <w:r>
        <w:rPr>
          <w:rFonts w:ascii="Calibri" w:cs="Calibri" w:eastAsia="Calibri" w:hAnsi="Calibri"/>
          <w:b/>
          <w:bCs/>
          <w:sz w:val="21"/>
          <w:szCs w:val="21"/>
        </w:rPr>
        <w:t xml:space="preserve">[4]</w:t>
      </w:r>
      <w:r>
        <w:rPr>
          <w:rFonts w:ascii="Calibri" w:cs="Calibri" w:eastAsia="Calibri" w:hAnsi="Calibri"/>
          <w:sz w:val="21"/>
          <w:szCs w:val="21"/>
        </w:rPr>
        <w:t xml:space="preserve"> years with a </w:t>
      </w:r>
      <w:r>
        <w:rPr>
          <w:rFonts w:ascii="Calibri" w:cs="Calibri" w:eastAsia="Calibri" w:hAnsi="Calibri"/>
          <w:b/>
          <w:bCs/>
          <w:sz w:val="21"/>
          <w:szCs w:val="21"/>
        </w:rPr>
        <w:t xml:space="preserve">[12]</w:t>
      </w:r>
      <w:r>
        <w:rPr>
          <w:rFonts w:ascii="Calibri" w:cs="Calibri" w:eastAsia="Calibri" w:hAnsi="Calibri"/>
          <w:sz w:val="21"/>
          <w:szCs w:val="21"/>
        </w:rPr>
        <w:t xml:space="preserve">-month cliff and monthly vesting thereafter.</w:t>
      </w:r>
    </w:p>
    <w:p>
      <w:pPr>
        <w:spacing w:after="120" w:before="60" w:line="276"/>
        <w:ind w:left="720" w:hanging="720"/>
        <w:jc w:val="both"/>
      </w:pPr>
      <w:r>
        <w:rPr>
          <w:rFonts w:ascii="Calibri" w:cs="Calibri" w:eastAsia="Calibri" w:hAnsi="Calibri"/>
          <w:sz w:val="21"/>
          <w:szCs w:val="21"/>
        </w:rPr>
        <w:t xml:space="preserve">2.4	</w:t>
      </w:r>
      <w:r>
        <w:rPr>
          <w:rFonts w:ascii="Calibri" w:cs="Calibri" w:eastAsia="Calibri" w:hAnsi="Calibri"/>
          <w:sz w:val="21"/>
          <w:szCs w:val="21"/>
        </w:rPr>
        <w:t xml:space="preserve">Vesting continues during paid statutory leave, including annual, sick, maternity and parental leave.</w:t>
      </w:r>
    </w:p>
    <w:p>
      <w:pPr>
        <w:spacing w:after="120" w:before="60" w:line="276"/>
        <w:ind w:left="720" w:hanging="720"/>
        <w:jc w:val="both"/>
      </w:pPr>
      <w:r>
        <w:rPr>
          <w:rFonts w:ascii="Calibri" w:cs="Calibri" w:eastAsia="Calibri" w:hAnsi="Calibri"/>
          <w:sz w:val="21"/>
          <w:szCs w:val="21"/>
        </w:rPr>
        <w:t xml:space="preserve">2.5	</w:t>
      </w:r>
      <w:r>
        <w:rPr>
          <w:rFonts w:ascii="Calibri" w:cs="Calibri" w:eastAsia="Calibri" w:hAnsi="Calibri"/>
          <w:sz w:val="21"/>
          <w:szCs w:val="21"/>
        </w:rPr>
        <w:t xml:space="preserve">Options are </w:t>
      </w:r>
      <w:r>
        <w:rPr>
          <w:rFonts w:ascii="Calibri" w:cs="Calibri" w:eastAsia="Calibri" w:hAnsi="Calibri"/>
          <w:b/>
          <w:bCs/>
          <w:sz w:val="21"/>
          <w:szCs w:val="21"/>
        </w:rPr>
        <w:t xml:space="preserve">personal and non-transferable</w:t>
      </w:r>
      <w:r>
        <w:rPr>
          <w:rFonts w:ascii="Calibri" w:cs="Calibri" w:eastAsia="Calibri" w:hAnsi="Calibri"/>
          <w:sz w:val="21"/>
          <w:szCs w:val="21"/>
        </w:rPr>
        <w:t xml:space="preserve">, save on death.</w:t>
      </w:r>
    </w:p>
    <w:p>
      <w:pPr>
        <w:spacing w:after="120" w:before="60" w:line="276"/>
        <w:ind w:left="720" w:hanging="720"/>
        <w:jc w:val="both"/>
      </w:pPr>
      <w:r>
        <w:rPr>
          <w:rFonts w:ascii="Calibri" w:cs="Calibri" w:eastAsia="Calibri" w:hAnsi="Calibri"/>
          <w:sz w:val="21"/>
          <w:szCs w:val="21"/>
        </w:rPr>
        <w:t xml:space="preserve">2.6	</w:t>
      </w:r>
      <w:r>
        <w:rPr>
          <w:rFonts w:ascii="Calibri" w:cs="Calibri" w:eastAsia="Calibri" w:hAnsi="Calibri"/>
          <w:sz w:val="21"/>
          <w:szCs w:val="21"/>
        </w:rPr>
        <w:t xml:space="preserve">Options lapse on the earlier of the expiry date, the end of the post-cessation exercise window, and termination for cause.</w:t>
      </w:r>
    </w:p>
    <w:p>
      <w:pPr>
        <w:keepNext/>
        <w:spacing w:after="120" w:before="280"/>
        <w:outlineLvl w:val="0"/>
      </w:pPr>
      <w:r>
        <w:rPr>
          <w:rFonts w:ascii="Calibri" w:cs="Calibri" w:eastAsia="Calibri" w:hAnsi="Calibri"/>
          <w:b/>
          <w:bCs/>
          <w:color w:val="14161B"/>
          <w:sz w:val="22"/>
          <w:szCs w:val="22"/>
        </w:rPr>
        <w:t xml:space="preserve">3. LEAVERS</w:t>
      </w:r>
    </w:p>
    <w:tbl>
      <w:tblPr>
        <w:tblW w:type="dxa" w:w="9638"/>
        <w:tblBorders>
          <w:top w:val="single" w:color="B9BEC8" w:sz="4"/>
          <w:left w:val="single" w:color="B9BEC8" w:sz="4"/>
          <w:bottom w:val="single" w:color="B9BEC8" w:sz="4"/>
          <w:right w:val="single" w:color="B9BEC8" w:sz="4"/>
          <w:insideH w:val="single" w:color="D3D7DF" w:sz="2"/>
          <w:insideV w:val="single" w:color="D3D7DF" w:sz="2"/>
        </w:tblBorders>
      </w:tblPr>
      <w:tblGrid>
        <w:gridCol w:w="2891"/>
        <w:gridCol w:w="2313"/>
        <w:gridCol w:w="2120"/>
        <w:gridCol w:w="2314"/>
      </w:tblGrid>
      <w:tr>
        <w:trPr>
          <w:cantSplit/>
          <w:tblHeader/>
        </w:trPr>
        <w:tc>
          <w:tcPr>
            <w:tcW w:type="dxa" w:w="2891"/>
            <w:shd w:fill="EEF1FE" w:color="auto" w:val="clear"/>
            <w:tcMar>
              <w:top w:type="dxa" w:w="70"/>
              <w:left w:type="dxa" w:w="100"/>
              <w:bottom w:type="dxa" w:w="70"/>
              <w:right w:type="dxa" w:w="100"/>
            </w:tcMar>
            <w:vAlign w:val="center"/>
          </w:tcPr>
          <w:p>
            <w:pPr>
              <w:spacing w:after="0" w:line="240"/>
              <w:jc w:val="left"/>
            </w:pPr>
            <w:r>
              <w:rPr>
                <w:rFonts w:ascii="Calibri" w:cs="Calibri" w:eastAsia="Calibri" w:hAnsi="Calibri"/>
                <w:b/>
                <w:bCs/>
                <w:sz w:val="18"/>
                <w:szCs w:val="18"/>
              </w:rPr>
              <w:t xml:space="preserve">Circumstance</w:t>
            </w:r>
          </w:p>
        </w:tc>
        <w:tc>
          <w:tcPr>
            <w:tcW w:type="dxa" w:w="2313"/>
            <w:shd w:fill="EEF1FE" w:color="auto" w:val="clear"/>
            <w:tcMar>
              <w:top w:type="dxa" w:w="70"/>
              <w:left w:type="dxa" w:w="100"/>
              <w:bottom w:type="dxa" w:w="70"/>
              <w:right w:type="dxa" w:w="100"/>
            </w:tcMar>
            <w:vAlign w:val="center"/>
          </w:tcPr>
          <w:p>
            <w:pPr>
              <w:spacing w:after="0" w:line="240"/>
              <w:jc w:val="left"/>
            </w:pPr>
            <w:r>
              <w:rPr>
                <w:rFonts w:ascii="Calibri" w:cs="Calibri" w:eastAsia="Calibri" w:hAnsi="Calibri"/>
                <w:b/>
                <w:bCs/>
                <w:sz w:val="18"/>
                <w:szCs w:val="18"/>
              </w:rPr>
              <w:t xml:space="preserve">Unvested</w:t>
            </w:r>
          </w:p>
        </w:tc>
        <w:tc>
          <w:tcPr>
            <w:tcW w:type="dxa" w:w="2120"/>
            <w:shd w:fill="EEF1FE" w:color="auto" w:val="clear"/>
            <w:tcMar>
              <w:top w:type="dxa" w:w="70"/>
              <w:left w:type="dxa" w:w="100"/>
              <w:bottom w:type="dxa" w:w="70"/>
              <w:right w:type="dxa" w:w="100"/>
            </w:tcMar>
            <w:vAlign w:val="center"/>
          </w:tcPr>
          <w:p>
            <w:pPr>
              <w:spacing w:after="0" w:line="240"/>
              <w:jc w:val="left"/>
            </w:pPr>
            <w:r>
              <w:rPr>
                <w:rFonts w:ascii="Calibri" w:cs="Calibri" w:eastAsia="Calibri" w:hAnsi="Calibri"/>
                <w:b/>
                <w:bCs/>
                <w:sz w:val="18"/>
                <w:szCs w:val="18"/>
              </w:rPr>
              <w:t xml:space="preserve">Vested</w:t>
            </w:r>
          </w:p>
        </w:tc>
        <w:tc>
          <w:tcPr>
            <w:tcW w:type="dxa" w:w="2314"/>
            <w:shd w:fill="EEF1FE" w:color="auto" w:val="clear"/>
            <w:tcMar>
              <w:top w:type="dxa" w:w="70"/>
              <w:left w:type="dxa" w:w="100"/>
              <w:bottom w:type="dxa" w:w="70"/>
              <w:right w:type="dxa" w:w="100"/>
            </w:tcMar>
            <w:vAlign w:val="center"/>
          </w:tcPr>
          <w:p>
            <w:pPr>
              <w:spacing w:after="0" w:line="240"/>
              <w:jc w:val="left"/>
            </w:pPr>
            <w:r>
              <w:rPr>
                <w:rFonts w:ascii="Calibri" w:cs="Calibri" w:eastAsia="Calibri" w:hAnsi="Calibri"/>
                <w:b/>
                <w:bCs/>
                <w:sz w:val="18"/>
                <w:szCs w:val="18"/>
              </w:rPr>
              <w:t xml:space="preserve">Window</w:t>
            </w:r>
          </w:p>
        </w:tc>
      </w:tr>
      <w:tr>
        <w:trPr>
          <w:cantSplit/>
        </w:trPr>
        <w:tc>
          <w:tcPr>
            <w:tcW w:type="dxa" w:w="2891"/>
            <w:tcMar>
              <w:top w:type="dxa" w:w="70"/>
              <w:left w:type="dxa" w:w="100"/>
              <w:bottom w:type="dxa" w:w="70"/>
              <w:right w:type="dxa" w:w="100"/>
            </w:tcMar>
            <w:vAlign w:val="center"/>
          </w:tcPr>
          <w:p>
            <w:pPr>
              <w:spacing w:after="0" w:line="240"/>
              <w:jc w:val="left"/>
            </w:pPr>
            <w:r>
              <w:rPr>
                <w:rFonts w:ascii="Calibri" w:cs="Calibri" w:eastAsia="Calibri" w:hAnsi="Calibri"/>
                <w:sz w:val="18"/>
                <w:szCs w:val="18"/>
              </w:rPr>
              <w:t xml:space="preserve">Resignation</w:t>
            </w:r>
          </w:p>
        </w:tc>
        <w:tc>
          <w:tcPr>
            <w:tcW w:type="dxa" w:w="2313"/>
            <w:tcMar>
              <w:top w:type="dxa" w:w="70"/>
              <w:left w:type="dxa" w:w="100"/>
              <w:bottom w:type="dxa" w:w="70"/>
              <w:right w:type="dxa" w:w="100"/>
            </w:tcMar>
            <w:vAlign w:val="center"/>
          </w:tcPr>
          <w:p>
            <w:pPr>
              <w:spacing w:after="0" w:line="240"/>
              <w:jc w:val="left"/>
            </w:pPr>
            <w:r>
              <w:rPr>
                <w:rFonts w:ascii="Calibri" w:cs="Calibri" w:eastAsia="Calibri" w:hAnsi="Calibri"/>
                <w:sz w:val="18"/>
                <w:szCs w:val="18"/>
              </w:rPr>
              <w:t xml:space="preserve">Lapse</w:t>
            </w:r>
          </w:p>
        </w:tc>
        <w:tc>
          <w:tcPr>
            <w:tcW w:type="dxa" w:w="2120"/>
            <w:tcMar>
              <w:top w:type="dxa" w:w="70"/>
              <w:left w:type="dxa" w:w="100"/>
              <w:bottom w:type="dxa" w:w="70"/>
              <w:right w:type="dxa" w:w="100"/>
            </w:tcMar>
            <w:vAlign w:val="center"/>
          </w:tcPr>
          <w:p>
            <w:pPr>
              <w:spacing w:after="0" w:line="240"/>
              <w:jc w:val="left"/>
            </w:pPr>
            <w:r>
              <w:rPr>
                <w:rFonts w:ascii="Calibri" w:cs="Calibri" w:eastAsia="Calibri" w:hAnsi="Calibri"/>
                <w:sz w:val="18"/>
                <w:szCs w:val="18"/>
              </w:rPr>
              <w:t xml:space="preserve">Retained</w:t>
            </w:r>
          </w:p>
        </w:tc>
        <w:tc>
          <w:tcPr>
            <w:tcW w:type="dxa" w:w="2314"/>
            <w:tcMar>
              <w:top w:type="dxa" w:w="70"/>
              <w:left w:type="dxa" w:w="100"/>
              <w:bottom w:type="dxa" w:w="70"/>
              <w:right w:type="dxa" w:w="100"/>
            </w:tcMar>
            <w:vAlign w:val="center"/>
          </w:tcPr>
          <w:p>
            <w:pPr>
              <w:spacing w:after="0" w:line="240"/>
              <w:jc w:val="left"/>
            </w:pPr>
            <w:r>
              <w:rPr>
                <w:rFonts w:ascii="Calibri" w:cs="Calibri" w:eastAsia="Calibri" w:hAnsi="Calibri"/>
                <w:b/>
                <w:bCs/>
                <w:sz w:val="18"/>
                <w:szCs w:val="18"/>
              </w:rPr>
              <w:t xml:space="preserve">[90]</w:t>
            </w:r>
            <w:r>
              <w:rPr>
                <w:rFonts w:ascii="Calibri" w:cs="Calibri" w:eastAsia="Calibri" w:hAnsi="Calibri"/>
                <w:sz w:val="18"/>
                <w:szCs w:val="18"/>
              </w:rPr>
              <w:t xml:space="preserve"> days</w:t>
            </w:r>
          </w:p>
        </w:tc>
      </w:tr>
      <w:tr>
        <w:trPr>
          <w:cantSplit/>
        </w:trPr>
        <w:tc>
          <w:tcPr>
            <w:tcW w:type="dxa" w:w="2891"/>
            <w:tcMar>
              <w:top w:type="dxa" w:w="70"/>
              <w:left w:type="dxa" w:w="100"/>
              <w:bottom w:type="dxa" w:w="70"/>
              <w:right w:type="dxa" w:w="100"/>
            </w:tcMar>
            <w:vAlign w:val="center"/>
          </w:tcPr>
          <w:p>
            <w:pPr>
              <w:spacing w:after="0" w:line="240"/>
              <w:jc w:val="left"/>
            </w:pPr>
            <w:r>
              <w:rPr>
                <w:rFonts w:ascii="Calibri" w:cs="Calibri" w:eastAsia="Calibri" w:hAnsi="Calibri"/>
                <w:sz w:val="18"/>
                <w:szCs w:val="18"/>
              </w:rPr>
              <w:t xml:space="preserve">Termination without cause</w:t>
            </w:r>
          </w:p>
        </w:tc>
        <w:tc>
          <w:tcPr>
            <w:tcW w:type="dxa" w:w="2313"/>
            <w:tcMar>
              <w:top w:type="dxa" w:w="70"/>
              <w:left w:type="dxa" w:w="100"/>
              <w:bottom w:type="dxa" w:w="70"/>
              <w:right w:type="dxa" w:w="100"/>
            </w:tcMar>
            <w:vAlign w:val="center"/>
          </w:tcPr>
          <w:p>
            <w:pPr>
              <w:spacing w:after="0" w:line="240"/>
              <w:jc w:val="left"/>
            </w:pPr>
            <w:r>
              <w:rPr>
                <w:rFonts w:ascii="Calibri" w:cs="Calibri" w:eastAsia="Calibri" w:hAnsi="Calibri"/>
                <w:b/>
                <w:bCs/>
                <w:sz w:val="18"/>
                <w:szCs w:val="18"/>
              </w:rPr>
              <w:t xml:space="preserve">[Lapse / accelerate]</w:t>
            </w:r>
          </w:p>
        </w:tc>
        <w:tc>
          <w:tcPr>
            <w:tcW w:type="dxa" w:w="2120"/>
            <w:tcMar>
              <w:top w:type="dxa" w:w="70"/>
              <w:left w:type="dxa" w:w="100"/>
              <w:bottom w:type="dxa" w:w="70"/>
              <w:right w:type="dxa" w:w="100"/>
            </w:tcMar>
            <w:vAlign w:val="center"/>
          </w:tcPr>
          <w:p>
            <w:pPr>
              <w:spacing w:after="0" w:line="240"/>
              <w:jc w:val="left"/>
            </w:pPr>
            <w:r>
              <w:rPr>
                <w:rFonts w:ascii="Calibri" w:cs="Calibri" w:eastAsia="Calibri" w:hAnsi="Calibri"/>
                <w:sz w:val="18"/>
                <w:szCs w:val="18"/>
              </w:rPr>
              <w:t xml:space="preserve">Retained</w:t>
            </w:r>
          </w:p>
        </w:tc>
        <w:tc>
          <w:tcPr>
            <w:tcW w:type="dxa" w:w="2314"/>
            <w:tcMar>
              <w:top w:type="dxa" w:w="70"/>
              <w:left w:type="dxa" w:w="100"/>
              <w:bottom w:type="dxa" w:w="70"/>
              <w:right w:type="dxa" w:w="100"/>
            </w:tcMar>
            <w:vAlign w:val="center"/>
          </w:tcPr>
          <w:p>
            <w:pPr>
              <w:spacing w:after="0" w:line="240"/>
              <w:jc w:val="left"/>
            </w:pPr>
            <w:r>
              <w:rPr>
                <w:rFonts w:ascii="Calibri" w:cs="Calibri" w:eastAsia="Calibri" w:hAnsi="Calibri"/>
                <w:b/>
                <w:bCs/>
                <w:sz w:val="18"/>
                <w:szCs w:val="18"/>
              </w:rPr>
              <w:t xml:space="preserve">[90]</w:t>
            </w:r>
            <w:r>
              <w:rPr>
                <w:rFonts w:ascii="Calibri" w:cs="Calibri" w:eastAsia="Calibri" w:hAnsi="Calibri"/>
                <w:sz w:val="18"/>
                <w:szCs w:val="18"/>
              </w:rPr>
              <w:t xml:space="preserve"> days</w:t>
            </w:r>
          </w:p>
        </w:tc>
      </w:tr>
      <w:tr>
        <w:trPr>
          <w:cantSplit/>
        </w:trPr>
        <w:tc>
          <w:tcPr>
            <w:tcW w:type="dxa" w:w="2891"/>
            <w:tcMar>
              <w:top w:type="dxa" w:w="70"/>
              <w:left w:type="dxa" w:w="100"/>
              <w:bottom w:type="dxa" w:w="70"/>
              <w:right w:type="dxa" w:w="100"/>
            </w:tcMar>
            <w:vAlign w:val="center"/>
          </w:tcPr>
          <w:p>
            <w:pPr>
              <w:spacing w:after="0" w:line="240"/>
              <w:jc w:val="left"/>
            </w:pPr>
            <w:r>
              <w:rPr>
                <w:rFonts w:ascii="Calibri" w:cs="Calibri" w:eastAsia="Calibri" w:hAnsi="Calibri"/>
                <w:sz w:val="18"/>
                <w:szCs w:val="18"/>
              </w:rPr>
              <w:t xml:space="preserve">Redundancy</w:t>
            </w:r>
          </w:p>
        </w:tc>
        <w:tc>
          <w:tcPr>
            <w:tcW w:type="dxa" w:w="2313"/>
            <w:tcMar>
              <w:top w:type="dxa" w:w="70"/>
              <w:left w:type="dxa" w:w="100"/>
              <w:bottom w:type="dxa" w:w="70"/>
              <w:right w:type="dxa" w:w="100"/>
            </w:tcMar>
            <w:vAlign w:val="center"/>
          </w:tcPr>
          <w:p>
            <w:pPr>
              <w:spacing w:after="0" w:line="240"/>
              <w:jc w:val="left"/>
            </w:pPr>
            <w:r>
              <w:rPr>
                <w:rFonts w:ascii="Calibri" w:cs="Calibri" w:eastAsia="Calibri" w:hAnsi="Calibri"/>
                <w:b/>
                <w:bCs/>
                <w:sz w:val="18"/>
                <w:szCs w:val="18"/>
              </w:rPr>
              <w:t xml:space="preserve">[Pro-rate]</w:t>
            </w:r>
          </w:p>
        </w:tc>
        <w:tc>
          <w:tcPr>
            <w:tcW w:type="dxa" w:w="2120"/>
            <w:tcMar>
              <w:top w:type="dxa" w:w="70"/>
              <w:left w:type="dxa" w:w="100"/>
              <w:bottom w:type="dxa" w:w="70"/>
              <w:right w:type="dxa" w:w="100"/>
            </w:tcMar>
            <w:vAlign w:val="center"/>
          </w:tcPr>
          <w:p>
            <w:pPr>
              <w:spacing w:after="0" w:line="240"/>
              <w:jc w:val="left"/>
            </w:pPr>
            <w:r>
              <w:rPr>
                <w:rFonts w:ascii="Calibri" w:cs="Calibri" w:eastAsia="Calibri" w:hAnsi="Calibri"/>
                <w:sz w:val="18"/>
                <w:szCs w:val="18"/>
              </w:rPr>
              <w:t xml:space="preserve">Retained</w:t>
            </w:r>
          </w:p>
        </w:tc>
        <w:tc>
          <w:tcPr>
            <w:tcW w:type="dxa" w:w="2314"/>
            <w:tcMar>
              <w:top w:type="dxa" w:w="70"/>
              <w:left w:type="dxa" w:w="100"/>
              <w:bottom w:type="dxa" w:w="70"/>
              <w:right w:type="dxa" w:w="100"/>
            </w:tcMar>
            <w:vAlign w:val="center"/>
          </w:tcPr>
          <w:p>
            <w:pPr>
              <w:spacing w:after="0" w:line="240"/>
              <w:jc w:val="left"/>
            </w:pPr>
            <w:r>
              <w:rPr>
                <w:rFonts w:ascii="Calibri" w:cs="Calibri" w:eastAsia="Calibri" w:hAnsi="Calibri"/>
                <w:b/>
                <w:bCs/>
                <w:sz w:val="18"/>
                <w:szCs w:val="18"/>
              </w:rPr>
              <w:t xml:space="preserve">[90]</w:t>
            </w:r>
            <w:r>
              <w:rPr>
                <w:rFonts w:ascii="Calibri" w:cs="Calibri" w:eastAsia="Calibri" w:hAnsi="Calibri"/>
                <w:sz w:val="18"/>
                <w:szCs w:val="18"/>
              </w:rPr>
              <w:t xml:space="preserve"> days</w:t>
            </w:r>
          </w:p>
        </w:tc>
      </w:tr>
      <w:tr>
        <w:trPr>
          <w:cantSplit/>
        </w:trPr>
        <w:tc>
          <w:tcPr>
            <w:tcW w:type="dxa" w:w="2891"/>
            <w:tcMar>
              <w:top w:type="dxa" w:w="70"/>
              <w:left w:type="dxa" w:w="100"/>
              <w:bottom w:type="dxa" w:w="70"/>
              <w:right w:type="dxa" w:w="100"/>
            </w:tcMar>
            <w:vAlign w:val="center"/>
          </w:tcPr>
          <w:p>
            <w:pPr>
              <w:spacing w:after="0" w:line="240"/>
              <w:jc w:val="left"/>
            </w:pPr>
            <w:r>
              <w:rPr>
                <w:rFonts w:ascii="Calibri" w:cs="Calibri" w:eastAsia="Calibri" w:hAnsi="Calibri"/>
                <w:sz w:val="18"/>
                <w:szCs w:val="18"/>
              </w:rPr>
              <w:t xml:space="preserve">Death</w:t>
            </w:r>
          </w:p>
        </w:tc>
        <w:tc>
          <w:tcPr>
            <w:tcW w:type="dxa" w:w="2313"/>
            <w:tcMar>
              <w:top w:type="dxa" w:w="70"/>
              <w:left w:type="dxa" w:w="100"/>
              <w:bottom w:type="dxa" w:w="70"/>
              <w:right w:type="dxa" w:w="100"/>
            </w:tcMar>
            <w:vAlign w:val="center"/>
          </w:tcPr>
          <w:p>
            <w:pPr>
              <w:spacing w:after="0" w:line="240"/>
              <w:jc w:val="left"/>
            </w:pPr>
            <w:r>
              <w:rPr>
                <w:rFonts w:ascii="Calibri" w:cs="Calibri" w:eastAsia="Calibri" w:hAnsi="Calibri"/>
                <w:sz w:val="18"/>
                <w:szCs w:val="18"/>
              </w:rPr>
              <w:t xml:space="preserve">Accelerate in full</w:t>
            </w:r>
          </w:p>
        </w:tc>
        <w:tc>
          <w:tcPr>
            <w:tcW w:type="dxa" w:w="2120"/>
            <w:tcMar>
              <w:top w:type="dxa" w:w="70"/>
              <w:left w:type="dxa" w:w="100"/>
              <w:bottom w:type="dxa" w:w="70"/>
              <w:right w:type="dxa" w:w="100"/>
            </w:tcMar>
            <w:vAlign w:val="center"/>
          </w:tcPr>
          <w:p>
            <w:pPr>
              <w:spacing w:after="0" w:line="240"/>
              <w:jc w:val="left"/>
            </w:pPr>
            <w:r>
              <w:rPr>
                <w:rFonts w:ascii="Calibri" w:cs="Calibri" w:eastAsia="Calibri" w:hAnsi="Calibri"/>
                <w:sz w:val="18"/>
                <w:szCs w:val="18"/>
              </w:rPr>
              <w:t xml:space="preserve">Passes to the estate</w:t>
            </w:r>
          </w:p>
        </w:tc>
        <w:tc>
          <w:tcPr>
            <w:tcW w:type="dxa" w:w="2314"/>
            <w:tcMar>
              <w:top w:type="dxa" w:w="70"/>
              <w:left w:type="dxa" w:w="100"/>
              <w:bottom w:type="dxa" w:w="70"/>
              <w:right w:type="dxa" w:w="100"/>
            </w:tcMar>
            <w:vAlign w:val="center"/>
          </w:tcPr>
          <w:p>
            <w:pPr>
              <w:spacing w:after="0" w:line="240"/>
              <w:jc w:val="left"/>
            </w:pPr>
            <w:r>
              <w:rPr>
                <w:rFonts w:ascii="Calibri" w:cs="Calibri" w:eastAsia="Calibri" w:hAnsi="Calibri"/>
                <w:b/>
                <w:bCs/>
                <w:sz w:val="18"/>
                <w:szCs w:val="18"/>
              </w:rPr>
              <w:t xml:space="preserve">[12]</w:t>
            </w:r>
            <w:r>
              <w:rPr>
                <w:rFonts w:ascii="Calibri" w:cs="Calibri" w:eastAsia="Calibri" w:hAnsi="Calibri"/>
                <w:sz w:val="18"/>
                <w:szCs w:val="18"/>
              </w:rPr>
              <w:t xml:space="preserve"> months</w:t>
            </w:r>
          </w:p>
        </w:tc>
      </w:tr>
      <w:tr>
        <w:trPr>
          <w:cantSplit/>
        </w:trPr>
        <w:tc>
          <w:tcPr>
            <w:tcW w:type="dxa" w:w="2891"/>
            <w:tcMar>
              <w:top w:type="dxa" w:w="70"/>
              <w:left w:type="dxa" w:w="100"/>
              <w:bottom w:type="dxa" w:w="70"/>
              <w:right w:type="dxa" w:w="100"/>
            </w:tcMar>
            <w:vAlign w:val="center"/>
          </w:tcPr>
          <w:p>
            <w:pPr>
              <w:spacing w:after="0" w:line="240"/>
              <w:jc w:val="left"/>
            </w:pPr>
            <w:r>
              <w:rPr>
                <w:rFonts w:ascii="Calibri" w:cs="Calibri" w:eastAsia="Calibri" w:hAnsi="Calibri"/>
                <w:sz w:val="18"/>
                <w:szCs w:val="18"/>
              </w:rPr>
              <w:t xml:space="preserve">Permanent incapacity</w:t>
            </w:r>
          </w:p>
        </w:tc>
        <w:tc>
          <w:tcPr>
            <w:tcW w:type="dxa" w:w="2313"/>
            <w:tcMar>
              <w:top w:type="dxa" w:w="70"/>
              <w:left w:type="dxa" w:w="100"/>
              <w:bottom w:type="dxa" w:w="70"/>
              <w:right w:type="dxa" w:w="100"/>
            </w:tcMar>
            <w:vAlign w:val="center"/>
          </w:tcPr>
          <w:p>
            <w:pPr>
              <w:spacing w:after="0" w:line="240"/>
              <w:jc w:val="left"/>
            </w:pPr>
            <w:r>
              <w:rPr>
                <w:rFonts w:ascii="Calibri" w:cs="Calibri" w:eastAsia="Calibri" w:hAnsi="Calibri"/>
                <w:sz w:val="18"/>
                <w:szCs w:val="18"/>
              </w:rPr>
              <w:t xml:space="preserve">Accelerate in full</w:t>
            </w:r>
          </w:p>
        </w:tc>
        <w:tc>
          <w:tcPr>
            <w:tcW w:type="dxa" w:w="2120"/>
            <w:tcMar>
              <w:top w:type="dxa" w:w="70"/>
              <w:left w:type="dxa" w:w="100"/>
              <w:bottom w:type="dxa" w:w="70"/>
              <w:right w:type="dxa" w:w="100"/>
            </w:tcMar>
            <w:vAlign w:val="center"/>
          </w:tcPr>
          <w:p>
            <w:pPr>
              <w:spacing w:after="0" w:line="240"/>
              <w:jc w:val="left"/>
            </w:pPr>
            <w:r>
              <w:rPr>
                <w:rFonts w:ascii="Calibri" w:cs="Calibri" w:eastAsia="Calibri" w:hAnsi="Calibri"/>
                <w:sz w:val="18"/>
                <w:szCs w:val="18"/>
              </w:rPr>
              <w:t xml:space="preserve">Retained</w:t>
            </w:r>
          </w:p>
        </w:tc>
        <w:tc>
          <w:tcPr>
            <w:tcW w:type="dxa" w:w="2314"/>
            <w:tcMar>
              <w:top w:type="dxa" w:w="70"/>
              <w:left w:type="dxa" w:w="100"/>
              <w:bottom w:type="dxa" w:w="70"/>
              <w:right w:type="dxa" w:w="100"/>
            </w:tcMar>
            <w:vAlign w:val="center"/>
          </w:tcPr>
          <w:p>
            <w:pPr>
              <w:spacing w:after="0" w:line="240"/>
              <w:jc w:val="left"/>
            </w:pPr>
            <w:r>
              <w:rPr>
                <w:rFonts w:ascii="Calibri" w:cs="Calibri" w:eastAsia="Calibri" w:hAnsi="Calibri"/>
                <w:b/>
                <w:bCs/>
                <w:sz w:val="18"/>
                <w:szCs w:val="18"/>
              </w:rPr>
              <w:t xml:space="preserve">[12]</w:t>
            </w:r>
            <w:r>
              <w:rPr>
                <w:rFonts w:ascii="Calibri" w:cs="Calibri" w:eastAsia="Calibri" w:hAnsi="Calibri"/>
                <w:sz w:val="18"/>
                <w:szCs w:val="18"/>
              </w:rPr>
              <w:t xml:space="preserve"> months</w:t>
            </w:r>
          </w:p>
        </w:tc>
      </w:tr>
      <w:tr>
        <w:trPr>
          <w:cantSplit/>
        </w:trPr>
        <w:tc>
          <w:tcPr>
            <w:tcW w:type="dxa" w:w="2891"/>
            <w:tcMar>
              <w:top w:type="dxa" w:w="70"/>
              <w:left w:type="dxa" w:w="100"/>
              <w:bottom w:type="dxa" w:w="70"/>
              <w:right w:type="dxa" w:w="100"/>
            </w:tcMar>
            <w:vAlign w:val="center"/>
          </w:tcPr>
          <w:p>
            <w:pPr>
              <w:spacing w:after="0" w:line="240"/>
              <w:jc w:val="left"/>
            </w:pPr>
            <w:r>
              <w:rPr>
                <w:rFonts w:ascii="Calibri" w:cs="Calibri" w:eastAsia="Calibri" w:hAnsi="Calibri"/>
                <w:b/>
                <w:bCs/>
                <w:sz w:val="18"/>
                <w:szCs w:val="18"/>
              </w:rPr>
              <w:t xml:space="preserve">Termination for cause</w:t>
            </w:r>
          </w:p>
        </w:tc>
        <w:tc>
          <w:tcPr>
            <w:tcW w:type="dxa" w:w="2313"/>
            <w:tcMar>
              <w:top w:type="dxa" w:w="70"/>
              <w:left w:type="dxa" w:w="100"/>
              <w:bottom w:type="dxa" w:w="70"/>
              <w:right w:type="dxa" w:w="100"/>
            </w:tcMar>
            <w:vAlign w:val="center"/>
          </w:tcPr>
          <w:p>
            <w:pPr>
              <w:spacing w:after="0" w:line="240"/>
              <w:jc w:val="left"/>
            </w:pPr>
            <w:r>
              <w:rPr>
                <w:rFonts w:ascii="Calibri" w:cs="Calibri" w:eastAsia="Calibri" w:hAnsi="Calibri"/>
                <w:b/>
                <w:bCs/>
                <w:sz w:val="18"/>
                <w:szCs w:val="18"/>
              </w:rPr>
              <w:t xml:space="preserve">Lapse</w:t>
            </w:r>
          </w:p>
        </w:tc>
        <w:tc>
          <w:tcPr>
            <w:tcW w:type="dxa" w:w="2120"/>
            <w:tcMar>
              <w:top w:type="dxa" w:w="70"/>
              <w:left w:type="dxa" w:w="100"/>
              <w:bottom w:type="dxa" w:w="70"/>
              <w:right w:type="dxa" w:w="100"/>
            </w:tcMar>
            <w:vAlign w:val="center"/>
          </w:tcPr>
          <w:p>
            <w:pPr>
              <w:spacing w:after="0" w:line="240"/>
              <w:jc w:val="left"/>
            </w:pPr>
            <w:r>
              <w:rPr>
                <w:rFonts w:ascii="Calibri" w:cs="Calibri" w:eastAsia="Calibri" w:hAnsi="Calibri"/>
                <w:b/>
                <w:bCs/>
                <w:sz w:val="18"/>
                <w:szCs w:val="18"/>
              </w:rPr>
              <w:t xml:space="preserve">[Lapse]</w:t>
            </w:r>
          </w:p>
        </w:tc>
        <w:tc>
          <w:tcPr>
            <w:tcW w:type="dxa" w:w="2314"/>
            <w:tcMar>
              <w:top w:type="dxa" w:w="70"/>
              <w:left w:type="dxa" w:w="100"/>
              <w:bottom w:type="dxa" w:w="70"/>
              <w:right w:type="dxa" w:w="100"/>
            </w:tcMar>
            <w:vAlign w:val="center"/>
          </w:tcPr>
          <w:p>
            <w:pPr>
              <w:spacing w:after="0" w:line="240"/>
              <w:jc w:val="left"/>
            </w:pPr>
            <w:r>
              <w:rPr>
                <w:rFonts w:ascii="Calibri" w:cs="Calibri" w:eastAsia="Calibri" w:hAnsi="Calibri"/>
                <w:sz w:val="18"/>
                <w:szCs w:val="18"/>
              </w:rPr>
              <w:t xml:space="preserve">—</w:t>
            </w:r>
          </w:p>
        </w:tc>
      </w:tr>
      <w:tr>
        <w:trPr>
          <w:cantSplit/>
        </w:trPr>
        <w:tc>
          <w:tcPr>
            <w:tcW w:type="dxa" w:w="2891"/>
            <w:tcMar>
              <w:top w:type="dxa" w:w="70"/>
              <w:left w:type="dxa" w:w="100"/>
              <w:bottom w:type="dxa" w:w="70"/>
              <w:right w:type="dxa" w:w="100"/>
            </w:tcMar>
            <w:vAlign w:val="center"/>
          </w:tcPr>
          <w:p>
            <w:pPr>
              <w:spacing w:after="0" w:line="240"/>
              <w:jc w:val="left"/>
            </w:pPr>
            <w:r>
              <w:rPr>
                <w:rFonts w:ascii="Calibri" w:cs="Calibri" w:eastAsia="Calibri" w:hAnsi="Calibri"/>
                <w:b/>
                <w:bCs/>
                <w:sz w:val="18"/>
                <w:szCs w:val="18"/>
              </w:rPr>
              <w:t xml:space="preserve">[Change of control]</w:t>
            </w:r>
          </w:p>
        </w:tc>
        <w:tc>
          <w:tcPr>
            <w:tcW w:type="dxa" w:w="2313"/>
            <w:tcMar>
              <w:top w:type="dxa" w:w="70"/>
              <w:left w:type="dxa" w:w="100"/>
              <w:bottom w:type="dxa" w:w="70"/>
              <w:right w:type="dxa" w:w="100"/>
            </w:tcMar>
            <w:vAlign w:val="center"/>
          </w:tcPr>
          <w:p>
            <w:pPr>
              <w:spacing w:after="0" w:line="240"/>
              <w:jc w:val="left"/>
            </w:pPr>
            <w:r>
              <w:rPr>
                <w:rFonts w:ascii="Calibri" w:cs="Calibri" w:eastAsia="Calibri" w:hAnsi="Calibri"/>
                <w:b/>
                <w:bCs/>
                <w:sz w:val="18"/>
                <w:szCs w:val="18"/>
              </w:rPr>
              <w:t xml:space="preserve">[Double trigger]</w:t>
            </w:r>
          </w:p>
        </w:tc>
        <w:tc>
          <w:tcPr>
            <w:tcW w:type="dxa" w:w="2120"/>
            <w:tcMar>
              <w:top w:type="dxa" w:w="70"/>
              <w:left w:type="dxa" w:w="100"/>
              <w:bottom w:type="dxa" w:w="70"/>
              <w:right w:type="dxa" w:w="100"/>
            </w:tcMar>
            <w:vAlign w:val="center"/>
          </w:tcPr>
          <w:p>
            <w:pPr>
              <w:spacing w:after="0" w:line="240"/>
              <w:jc w:val="left"/>
            </w:pPr>
            <w:r>
              <w:rPr>
                <w:rFonts w:ascii="Calibri" w:cs="Calibri" w:eastAsia="Calibri" w:hAnsi="Calibri"/>
                <w:sz w:val="18"/>
                <w:szCs w:val="18"/>
              </w:rPr>
              <w:t xml:space="preserve">Retained</w:t>
            </w:r>
          </w:p>
        </w:tc>
        <w:tc>
          <w:tcPr>
            <w:tcW w:type="dxa" w:w="2314"/>
            <w:tcMar>
              <w:top w:type="dxa" w:w="70"/>
              <w:left w:type="dxa" w:w="100"/>
              <w:bottom w:type="dxa" w:w="70"/>
              <w:right w:type="dxa" w:w="100"/>
            </w:tcMar>
            <w:vAlign w:val="center"/>
          </w:tcPr>
          <w:p>
            <w:pPr>
              <w:spacing w:after="0" w:line="240"/>
              <w:jc w:val="left"/>
            </w:pPr>
            <w:r>
              <w:rPr>
                <w:rFonts w:ascii="Calibri" w:cs="Calibri" w:eastAsia="Calibri" w:hAnsi="Calibri"/>
                <w:sz w:val="18"/>
                <w:szCs w:val="18"/>
              </w:rPr>
              <w:t xml:space="preserve">Per the transaction</w:t>
            </w:r>
          </w:p>
        </w:tc>
      </w:tr>
    </w:tbl>
    <w:p>
      <w:pPr>
        <w:spacing w:after="140"/>
      </w:pPr>
    </w:p>
    <w:p>
      <w:pPr>
        <w:spacing w:after="120" w:before="60" w:line="276"/>
        <w:ind w:left="720" w:hanging="720"/>
        <w:jc w:val="both"/>
      </w:pPr>
      <w:r>
        <w:rPr>
          <w:rFonts w:ascii="Calibri" w:cs="Calibri" w:eastAsia="Calibri" w:hAnsi="Calibri"/>
          <w:sz w:val="21"/>
          <w:szCs w:val="21"/>
        </w:rPr>
        <w:t xml:space="preserve">3.1	</w:t>
      </w:r>
      <w:r>
        <w:rPr>
          <w:rFonts w:ascii="Calibri" w:cs="Calibri" w:eastAsia="Calibri" w:hAnsi="Calibri"/>
          <w:i/>
          <w:iCs/>
          <w:sz w:val="21"/>
          <w:szCs w:val="21"/>
        </w:rPr>
        <w:t xml:space="preserve">A ninety-day exercise window is standard and is frequently unworkable for a departing employee — they must fund the exercise price with no market for the shares. Consider a longer window, or a cashless mechanism, if the scheme is meant to reward rather than to lapse.</w:t>
      </w:r>
    </w:p>
    <w:p>
      <w:pPr>
        <w:spacing w:after="120" w:before="60" w:line="276"/>
        <w:ind w:left="720" w:hanging="720"/>
        <w:jc w:val="both"/>
      </w:pPr>
      <w:r>
        <w:rPr>
          <w:rFonts w:ascii="Calibri" w:cs="Calibri" w:eastAsia="Calibri" w:hAnsi="Calibri"/>
          <w:sz w:val="21"/>
          <w:szCs w:val="21"/>
        </w:rPr>
        <w:t xml:space="preserve">3.2	</w:t>
      </w:r>
      <w:r>
        <w:rPr>
          <w:rFonts w:ascii="Calibri" w:cs="Calibri" w:eastAsia="Calibri" w:hAnsi="Calibri"/>
          <w:b/>
          <w:bCs/>
          <w:sz w:val="21"/>
          <w:szCs w:val="21"/>
        </w:rPr>
        <w:t xml:space="preserve">Departure and visa cancellation.</w:t>
      </w:r>
      <w:r>
        <w:rPr>
          <w:rFonts w:ascii="Calibri" w:cs="Calibri" w:eastAsia="Calibri" w:hAnsi="Calibri"/>
          <w:sz w:val="21"/>
          <w:szCs w:val="21"/>
        </w:rPr>
        <w:t xml:space="preserve"> Where an employee leaves and their residence visa is cancelled, they may leave the UAE within a short grace period. Ensure the exercise window and the practical ability to exercise are explained </w:t>
      </w:r>
      <w:r>
        <w:rPr>
          <w:rFonts w:ascii="Calibri" w:cs="Calibri" w:eastAsia="Calibri" w:hAnsi="Calibri"/>
          <w:b/>
          <w:bCs/>
          <w:sz w:val="21"/>
          <w:szCs w:val="21"/>
        </w:rPr>
        <w:t xml:space="preserve">before</w:t>
      </w:r>
      <w:r>
        <w:rPr>
          <w:rFonts w:ascii="Calibri" w:cs="Calibri" w:eastAsia="Calibri" w:hAnsi="Calibri"/>
          <w:sz w:val="21"/>
          <w:szCs w:val="21"/>
        </w:rPr>
        <w:t xml:space="preserve"> cancellation, not after they have gone.</w:t>
      </w:r>
    </w:p>
    <w:p>
      <w:pPr>
        <w:spacing w:after="0" w:before="0" w:line="1"/>
      </w:pPr>
      <w:r>
        <w:br w:type="page"/>
      </w:r>
    </w:p>
    <w:p>
      <w:pPr>
        <w:keepNext/>
        <w:spacing w:after="120" w:before="280"/>
        <w:outlineLvl w:val="0"/>
      </w:pPr>
      <w:r>
        <w:rPr>
          <w:rFonts w:ascii="Calibri" w:cs="Calibri" w:eastAsia="Calibri" w:hAnsi="Calibri"/>
          <w:b/>
          <w:bCs/>
          <w:color w:val="14161B"/>
          <w:sz w:val="22"/>
          <w:szCs w:val="22"/>
        </w:rPr>
        <w:t xml:space="preserve">4. PHANTOM PLAN — KEY TERMS</w:t>
      </w:r>
    </w:p>
    <w:p>
      <w:pPr>
        <w:spacing w:after="120" w:before="60" w:line="276"/>
        <w:ind w:left="720" w:hanging="720"/>
        <w:jc w:val="both"/>
      </w:pPr>
      <w:r>
        <w:rPr>
          <w:rFonts w:ascii="Calibri" w:cs="Calibri" w:eastAsia="Calibri" w:hAnsi="Calibri"/>
          <w:sz w:val="21"/>
          <w:szCs w:val="21"/>
        </w:rPr>
        <w:t xml:space="preserve">4.1	</w:t>
      </w:r>
      <w:r>
        <w:rPr>
          <w:rFonts w:ascii="Calibri" w:cs="Calibri" w:eastAsia="Calibri" w:hAnsi="Calibri"/>
          <w:sz w:val="21"/>
          <w:szCs w:val="21"/>
        </w:rPr>
        <w:t xml:space="preserve">A Participant is granted </w:t>
      </w:r>
      <w:r>
        <w:rPr>
          <w:rFonts w:ascii="Calibri" w:cs="Calibri" w:eastAsia="Calibri" w:hAnsi="Calibri"/>
          <w:b/>
          <w:bCs/>
          <w:sz w:val="21"/>
          <w:szCs w:val="21"/>
        </w:rPr>
        <w:t xml:space="preserve">[NUMBER]</w:t>
      </w:r>
      <w:r>
        <w:rPr>
          <w:rFonts w:ascii="Calibri" w:cs="Calibri" w:eastAsia="Calibri" w:hAnsi="Calibri"/>
          <w:sz w:val="21"/>
          <w:szCs w:val="21"/>
        </w:rPr>
        <w:t xml:space="preserve"> phantom units. Each unit represents the value of one share, but confers </w:t>
      </w:r>
      <w:r>
        <w:rPr>
          <w:rFonts w:ascii="Calibri" w:cs="Calibri" w:eastAsia="Calibri" w:hAnsi="Calibri"/>
          <w:b/>
          <w:bCs/>
          <w:sz w:val="21"/>
          <w:szCs w:val="21"/>
        </w:rPr>
        <w:t xml:space="preserve">no shareholding, no voting right and no dividend</w:t>
      </w:r>
      <w:r>
        <w:rPr>
          <w:rFonts w:ascii="Calibri" w:cs="Calibri" w:eastAsia="Calibri" w:hAnsi="Calibri"/>
          <w:sz w:val="21"/>
          <w:szCs w:val="21"/>
        </w:rPr>
        <w:t xml:space="preserve">.</w:t>
      </w:r>
    </w:p>
    <w:p>
      <w:pPr>
        <w:spacing w:after="120" w:before="60" w:line="276"/>
        <w:ind w:left="720" w:hanging="720"/>
        <w:jc w:val="both"/>
      </w:pPr>
      <w:r>
        <w:rPr>
          <w:rFonts w:ascii="Calibri" w:cs="Calibri" w:eastAsia="Calibri" w:hAnsi="Calibri"/>
          <w:sz w:val="21"/>
          <w:szCs w:val="21"/>
        </w:rPr>
        <w:t xml:space="preserve">4.2	</w:t>
      </w:r>
      <w:r>
        <w:rPr>
          <w:rFonts w:ascii="Calibri" w:cs="Calibri" w:eastAsia="Calibri" w:hAnsi="Calibri"/>
          <w:sz w:val="21"/>
          <w:szCs w:val="21"/>
        </w:rPr>
        <w:t xml:space="preserve">Units vest on the same schedule as options would.</w:t>
      </w:r>
    </w:p>
    <w:p>
      <w:pPr>
        <w:spacing w:after="120" w:before="60" w:line="276"/>
        <w:ind w:left="720" w:hanging="720"/>
        <w:jc w:val="both"/>
      </w:pPr>
      <w:r>
        <w:rPr>
          <w:rFonts w:ascii="Calibri" w:cs="Calibri" w:eastAsia="Calibri" w:hAnsi="Calibri"/>
          <w:sz w:val="21"/>
          <w:szCs w:val="21"/>
        </w:rPr>
        <w:t xml:space="preserve">4.3	</w:t>
      </w:r>
      <w:r>
        <w:rPr>
          <w:rFonts w:ascii="Calibri" w:cs="Calibri" w:eastAsia="Calibri" w:hAnsi="Calibri"/>
          <w:sz w:val="21"/>
          <w:szCs w:val="21"/>
        </w:rPr>
        <w:t xml:space="preserve">A payment becomes due on a </w:t>
      </w:r>
      <w:r>
        <w:rPr>
          <w:rFonts w:ascii="Calibri" w:cs="Calibri" w:eastAsia="Calibri" w:hAnsi="Calibri"/>
          <w:b/>
          <w:bCs/>
          <w:sz w:val="21"/>
          <w:szCs w:val="21"/>
        </w:rPr>
        <w:t xml:space="preserve">Trigger Event</w:t>
      </w:r>
      <w:r>
        <w:rPr>
          <w:rFonts w:ascii="Calibri" w:cs="Calibri" w:eastAsia="Calibri" w:hAnsi="Calibri"/>
          <w:sz w:val="21"/>
          <w:szCs w:val="21"/>
        </w:rPr>
        <w:t xml:space="preserve">: </w:t>
      </w:r>
      <w:r>
        <w:rPr>
          <w:rFonts w:ascii="Calibri" w:cs="Calibri" w:eastAsia="Calibri" w:hAnsi="Calibri"/>
          <w:b/>
          <w:bCs/>
          <w:sz w:val="21"/>
          <w:szCs w:val="21"/>
        </w:rPr>
        <w:t xml:space="preserve">[a sale of the Company, a listing, a defined liquidity event, or a date certain]</w:t>
      </w:r>
      <w:r>
        <w:rPr>
          <w:rFonts w:ascii="Calibri" w:cs="Calibri" w:eastAsia="Calibri" w:hAnsi="Calibri"/>
          <w:sz w:val="21"/>
          <w:szCs w:val="21"/>
        </w:rPr>
        <w:t xml:space="preserve">.</w:t>
      </w:r>
    </w:p>
    <w:p>
      <w:pPr>
        <w:spacing w:after="120" w:before="60" w:line="276"/>
        <w:ind w:left="720" w:hanging="720"/>
        <w:jc w:val="both"/>
      </w:pPr>
      <w:r>
        <w:rPr>
          <w:rFonts w:ascii="Calibri" w:cs="Calibri" w:eastAsia="Calibri" w:hAnsi="Calibri"/>
          <w:sz w:val="21"/>
          <w:szCs w:val="21"/>
        </w:rPr>
        <w:t xml:space="preserve">4.4	</w:t>
      </w:r>
      <w:r>
        <w:rPr>
          <w:rFonts w:ascii="Calibri" w:cs="Calibri" w:eastAsia="Calibri" w:hAnsi="Calibri"/>
          <w:sz w:val="21"/>
          <w:szCs w:val="21"/>
        </w:rPr>
        <w:t xml:space="preserve">The payment is </w:t>
      </w:r>
      <w:r>
        <w:rPr>
          <w:rFonts w:ascii="Calibri" w:cs="Calibri" w:eastAsia="Calibri" w:hAnsi="Calibri"/>
          <w:b/>
          <w:bCs/>
          <w:sz w:val="21"/>
          <w:szCs w:val="21"/>
        </w:rPr>
        <w:t xml:space="preserve">[the increase in value of a share since grant]</w:t>
      </w:r>
      <w:r>
        <w:rPr>
          <w:rFonts w:ascii="Calibri" w:cs="Calibri" w:eastAsia="Calibri" w:hAnsi="Calibri"/>
          <w:b/>
          <w:bCs/>
          <w:sz w:val="21"/>
          <w:szCs w:val="21"/>
        </w:rPr>
        <w:t xml:space="preserve"> × the number of vested units</w:t>
      </w:r>
      <w:r>
        <w:rPr>
          <w:rFonts w:ascii="Calibri" w:cs="Calibri" w:eastAsia="Calibri" w:hAnsi="Calibri"/>
          <w:sz w:val="21"/>
          <w:szCs w:val="21"/>
        </w:rPr>
        <w:t xml:space="preserve">, less any deduction required by law.</w:t>
      </w:r>
    </w:p>
    <w:p>
      <w:pPr>
        <w:spacing w:after="120" w:before="60" w:line="276"/>
        <w:ind w:left="720" w:hanging="720"/>
        <w:jc w:val="both"/>
      </w:pPr>
      <w:r>
        <w:rPr>
          <w:rFonts w:ascii="Calibri" w:cs="Calibri" w:eastAsia="Calibri" w:hAnsi="Calibri"/>
          <w:sz w:val="21"/>
          <w:szCs w:val="21"/>
        </w:rPr>
        <w:t xml:space="preserve">4.5	</w:t>
      </w:r>
      <w:r>
        <w:rPr>
          <w:rFonts w:ascii="Calibri" w:cs="Calibri" w:eastAsia="Calibri" w:hAnsi="Calibri"/>
          <w:sz w:val="21"/>
          <w:szCs w:val="21"/>
        </w:rPr>
        <w:t xml:space="preserve">Valuation is determined by </w:t>
      </w:r>
      <w:r>
        <w:rPr>
          <w:rFonts w:ascii="Calibri" w:cs="Calibri" w:eastAsia="Calibri" w:hAnsi="Calibri"/>
          <w:b/>
          <w:bCs/>
          <w:sz w:val="21"/>
          <w:szCs w:val="21"/>
        </w:rPr>
        <w:t xml:space="preserve">[the price in the Trigger Event / an independent valuation on the basis in Schedule 1]</w:t>
      </w:r>
      <w:r>
        <w:rPr>
          <w:rFonts w:ascii="Calibri" w:cs="Calibri" w:eastAsia="Calibri" w:hAnsi="Calibri"/>
          <w:sz w:val="21"/>
          <w:szCs w:val="21"/>
        </w:rPr>
        <w:t xml:space="preserve">.</w:t>
      </w:r>
    </w:p>
    <w:p>
      <w:pPr>
        <w:spacing w:after="120" w:before="60" w:line="276"/>
        <w:ind w:left="720" w:hanging="720"/>
        <w:jc w:val="both"/>
      </w:pPr>
      <w:r>
        <w:rPr>
          <w:rFonts w:ascii="Calibri" w:cs="Calibri" w:eastAsia="Calibri" w:hAnsi="Calibri"/>
          <w:sz w:val="21"/>
          <w:szCs w:val="21"/>
        </w:rPr>
        <w:t xml:space="preserve">4.6	</w:t>
      </w:r>
      <w:r>
        <w:rPr>
          <w:rFonts w:ascii="Calibri" w:cs="Calibri" w:eastAsia="Calibri" w:hAnsi="Calibri"/>
          <w:sz w:val="21"/>
          <w:szCs w:val="21"/>
        </w:rPr>
        <w:t xml:space="preserve">Payment is made </w:t>
      </w:r>
      <w:r>
        <w:rPr>
          <w:rFonts w:ascii="Calibri" w:cs="Calibri" w:eastAsia="Calibri" w:hAnsi="Calibri"/>
          <w:b/>
          <w:bCs/>
          <w:sz w:val="21"/>
          <w:szCs w:val="21"/>
        </w:rPr>
        <w:t xml:space="preserve">[within ______ days of the Trigger Event]</w:t>
      </w:r>
      <w:r>
        <w:rPr>
          <w:rFonts w:ascii="Calibri" w:cs="Calibri" w:eastAsia="Calibri" w:hAnsi="Calibri"/>
          <w:sz w:val="21"/>
          <w:szCs w:val="21"/>
        </w:rPr>
        <w:t xml:space="preserve"> and is </w:t>
      </w:r>
      <w:r>
        <w:rPr>
          <w:rFonts w:ascii="Calibri" w:cs="Calibri" w:eastAsia="Calibri" w:hAnsi="Calibri"/>
          <w:b/>
          <w:bCs/>
          <w:sz w:val="21"/>
          <w:szCs w:val="21"/>
        </w:rPr>
        <w:t xml:space="preserve">subject to the Company having the cash to pay it</w:t>
      </w:r>
      <w:r>
        <w:rPr>
          <w:rFonts w:ascii="Calibri" w:cs="Calibri" w:eastAsia="Calibri" w:hAnsi="Calibri"/>
          <w:sz w:val="21"/>
          <w:szCs w:val="21"/>
        </w:rPr>
        <w:t xml:space="preserve">.</w:t>
      </w:r>
    </w:p>
    <w:p>
      <w:pPr>
        <w:spacing w:after="120" w:before="60" w:line="276"/>
        <w:ind w:left="720" w:hanging="720"/>
        <w:jc w:val="both"/>
      </w:pPr>
      <w:r>
        <w:rPr>
          <w:rFonts w:ascii="Calibri" w:cs="Calibri" w:eastAsia="Calibri" w:hAnsi="Calibri"/>
          <w:sz w:val="21"/>
          <w:szCs w:val="21"/>
        </w:rPr>
        <w:t xml:space="preserve">4.7	</w:t>
      </w:r>
      <w:r>
        <w:rPr>
          <w:rFonts w:ascii="Calibri" w:cs="Calibri" w:eastAsia="Calibri" w:hAnsi="Calibri"/>
          <w:sz w:val="21"/>
          <w:szCs w:val="21"/>
        </w:rPr>
        <w:t xml:space="preserve">Where a Participant leaves before a Trigger Event, </w:t>
      </w:r>
      <w:r>
        <w:rPr>
          <w:rFonts w:ascii="Calibri" w:cs="Calibri" w:eastAsia="Calibri" w:hAnsi="Calibri"/>
          <w:b/>
          <w:bCs/>
          <w:sz w:val="21"/>
          <w:szCs w:val="21"/>
        </w:rPr>
        <w:t xml:space="preserve">[vested units are retained and paid on the Trigger Event / units lapse]</w:t>
      </w:r>
      <w:r>
        <w:rPr>
          <w:rFonts w:ascii="Calibri" w:cs="Calibri" w:eastAsia="Calibri" w:hAnsi="Calibri"/>
          <w:sz w:val="21"/>
          <w:szCs w:val="21"/>
        </w:rPr>
        <w:t xml:space="preserve">.</w:t>
      </w:r>
    </w:p>
    <w:p>
      <w:pPr>
        <w:spacing w:after="120" w:before="60" w:line="276"/>
        <w:ind w:left="720" w:hanging="720"/>
        <w:jc w:val="both"/>
      </w:pPr>
      <w:r>
        <w:rPr>
          <w:rFonts w:ascii="Calibri" w:cs="Calibri" w:eastAsia="Calibri" w:hAnsi="Calibri"/>
          <w:sz w:val="21"/>
          <w:szCs w:val="21"/>
        </w:rPr>
        <w:t xml:space="preserve">4.8	</w:t>
      </w:r>
      <w:r>
        <w:rPr>
          <w:rFonts w:ascii="Calibri" w:cs="Calibri" w:eastAsia="Calibri" w:hAnsi="Calibri"/>
          <w:i/>
          <w:iCs/>
          <w:sz w:val="21"/>
          <w:szCs w:val="21"/>
        </w:rPr>
        <w:t xml:space="preserve">Be honest in the communication. A phantom unit is a contractual promise to pay cash, not ownership. Employees told they have "equity" and later discover otherwise feel misled, and the resentment outlasts the payment.</w:t>
      </w:r>
    </w:p>
    <w:p>
      <w:pPr>
        <w:keepNext/>
        <w:spacing w:after="120" w:before="280"/>
        <w:outlineLvl w:val="0"/>
      </w:pPr>
      <w:r>
        <w:rPr>
          <w:rFonts w:ascii="Calibri" w:cs="Calibri" w:eastAsia="Calibri" w:hAnsi="Calibri"/>
          <w:b/>
          <w:bCs/>
          <w:color w:val="14161B"/>
          <w:sz w:val="22"/>
          <w:szCs w:val="22"/>
        </w:rPr>
        <w:t xml:space="preserve">5. TAX</w:t>
      </w:r>
    </w:p>
    <w:p>
      <w:pPr>
        <w:spacing w:after="120" w:before="60" w:line="276"/>
        <w:ind w:left="720" w:hanging="720"/>
        <w:jc w:val="both"/>
      </w:pPr>
      <w:r>
        <w:rPr>
          <w:rFonts w:ascii="Calibri" w:cs="Calibri" w:eastAsia="Calibri" w:hAnsi="Calibri"/>
          <w:sz w:val="21"/>
          <w:szCs w:val="21"/>
        </w:rPr>
        <w:t xml:space="preserve">5.1	</w:t>
      </w:r>
      <w:r>
        <w:rPr>
          <w:rFonts w:ascii="Calibri" w:cs="Calibri" w:eastAsia="Calibri" w:hAnsi="Calibri"/>
          <w:sz w:val="21"/>
          <w:szCs w:val="21"/>
        </w:rPr>
        <w:t xml:space="preserve">The UAE does </w:t>
      </w:r>
      <w:r>
        <w:rPr>
          <w:rFonts w:ascii="Calibri" w:cs="Calibri" w:eastAsia="Calibri" w:hAnsi="Calibri"/>
          <w:b/>
          <w:bCs/>
          <w:sz w:val="21"/>
          <w:szCs w:val="21"/>
        </w:rPr>
        <w:t xml:space="preserve">not levy personal income tax</w:t>
      </w:r>
      <w:r>
        <w:rPr>
          <w:rFonts w:ascii="Calibri" w:cs="Calibri" w:eastAsia="Calibri" w:hAnsi="Calibri"/>
          <w:sz w:val="21"/>
          <w:szCs w:val="21"/>
        </w:rPr>
        <w:t xml:space="preserve">, so an employee does not face a UAE income tax charge on grant, vesting or exercise.</w:t>
      </w:r>
    </w:p>
    <w:p>
      <w:pPr>
        <w:spacing w:after="120" w:before="60" w:line="276"/>
        <w:ind w:left="720" w:hanging="720"/>
        <w:jc w:val="both"/>
      </w:pPr>
      <w:r>
        <w:rPr>
          <w:rFonts w:ascii="Calibri" w:cs="Calibri" w:eastAsia="Calibri" w:hAnsi="Calibri"/>
          <w:sz w:val="21"/>
          <w:szCs w:val="21"/>
        </w:rPr>
        <w:t xml:space="preserve">5.2	</w:t>
      </w:r>
      <w:r>
        <w:rPr>
          <w:rFonts w:ascii="Calibri" w:cs="Calibri" w:eastAsia="Calibri" w:hAnsi="Calibri"/>
          <w:sz w:val="21"/>
          <w:szCs w:val="21"/>
        </w:rPr>
        <w:t xml:space="preserve">This does </w:t>
      </w:r>
      <w:r>
        <w:rPr>
          <w:rFonts w:ascii="Calibri" w:cs="Calibri" w:eastAsia="Calibri" w:hAnsi="Calibri"/>
          <w:b/>
          <w:bCs/>
          <w:sz w:val="21"/>
          <w:szCs w:val="21"/>
        </w:rPr>
        <w:t xml:space="preserve">not</w:t>
      </w:r>
      <w:r>
        <w:rPr>
          <w:rFonts w:ascii="Calibri" w:cs="Calibri" w:eastAsia="Calibri" w:hAnsi="Calibri"/>
          <w:sz w:val="21"/>
          <w:szCs w:val="21"/>
        </w:rPr>
        <w:t xml:space="preserve"> mean there is no tax exposure:</w:t>
      </w:r>
    </w:p>
    <w:p>
      <w:pPr>
        <w:spacing w:after="100" w:before="40" w:line="276"/>
        <w:ind w:left="1440" w:hanging="720"/>
        <w:jc w:val="both"/>
      </w:pPr>
      <w:r>
        <w:rPr>
          <w:rFonts w:ascii="Calibri" w:cs="Calibri" w:eastAsia="Calibri" w:hAnsi="Calibri"/>
          <w:sz w:val="21"/>
          <w:szCs w:val="21"/>
        </w:rPr>
        <w:t xml:space="preserve">(a)	</w:t>
      </w:r>
      <w:r>
        <w:rPr>
          <w:rFonts w:ascii="Calibri" w:cs="Calibri" w:eastAsia="Calibri" w:hAnsi="Calibri"/>
          <w:sz w:val="21"/>
          <w:szCs w:val="21"/>
        </w:rPr>
        <w:t xml:space="preserve">an employee who is </w:t>
      </w:r>
      <w:r>
        <w:rPr>
          <w:rFonts w:ascii="Calibri" w:cs="Calibri" w:eastAsia="Calibri" w:hAnsi="Calibri"/>
          <w:b/>
          <w:bCs/>
          <w:sz w:val="21"/>
          <w:szCs w:val="21"/>
        </w:rPr>
        <w:t xml:space="preserve">tax resident elsewhere</w:t>
      </w:r>
      <w:r>
        <w:rPr>
          <w:rFonts w:ascii="Calibri" w:cs="Calibri" w:eastAsia="Calibri" w:hAnsi="Calibri"/>
          <w:sz w:val="21"/>
          <w:szCs w:val="21"/>
        </w:rPr>
        <w:t xml:space="preserve">, or who becomes so later, may be taxed in that country on UAE-granted equity;</w:t>
      </w:r>
    </w:p>
    <w:p>
      <w:pPr>
        <w:spacing w:after="100" w:before="40" w:line="276"/>
        <w:ind w:left="1440" w:hanging="720"/>
        <w:jc w:val="both"/>
      </w:pPr>
      <w:r>
        <w:rPr>
          <w:rFonts w:ascii="Calibri" w:cs="Calibri" w:eastAsia="Calibri" w:hAnsi="Calibri"/>
          <w:sz w:val="21"/>
          <w:szCs w:val="21"/>
        </w:rPr>
        <w:t xml:space="preserve">(b)	</w:t>
      </w:r>
      <w:r>
        <w:rPr>
          <w:rFonts w:ascii="Calibri" w:cs="Calibri" w:eastAsia="Calibri" w:hAnsi="Calibri"/>
          <w:sz w:val="21"/>
          <w:szCs w:val="21"/>
        </w:rPr>
        <w:t xml:space="preserve">an employee who </w:t>
      </w:r>
      <w:r>
        <w:rPr>
          <w:rFonts w:ascii="Calibri" w:cs="Calibri" w:eastAsia="Calibri" w:hAnsi="Calibri"/>
          <w:b/>
          <w:bCs/>
          <w:sz w:val="21"/>
          <w:szCs w:val="21"/>
        </w:rPr>
        <w:t xml:space="preserve">leaves the UAE</w:t>
      </w:r>
      <w:r>
        <w:rPr>
          <w:rFonts w:ascii="Calibri" w:cs="Calibri" w:eastAsia="Calibri" w:hAnsi="Calibri"/>
          <w:sz w:val="21"/>
          <w:szCs w:val="21"/>
        </w:rPr>
        <w:t xml:space="preserve"> and takes up residence elsewhere may face a charge in the new country;</w:t>
      </w:r>
    </w:p>
    <w:p>
      <w:pPr>
        <w:spacing w:after="100" w:before="40" w:line="276"/>
        <w:ind w:left="1440" w:hanging="720"/>
        <w:jc w:val="both"/>
      </w:pPr>
      <w:r>
        <w:rPr>
          <w:rFonts w:ascii="Calibri" w:cs="Calibri" w:eastAsia="Calibri" w:hAnsi="Calibri"/>
          <w:sz w:val="21"/>
          <w:szCs w:val="21"/>
        </w:rPr>
        <w:t xml:space="preserve">(c)	</w:t>
      </w:r>
      <w:r>
        <w:rPr>
          <w:rFonts w:ascii="Calibri" w:cs="Calibri" w:eastAsia="Calibri" w:hAnsi="Calibri"/>
          <w:sz w:val="21"/>
          <w:szCs w:val="21"/>
        </w:rPr>
        <w:t xml:space="preserve">a </w:t>
      </w:r>
      <w:r>
        <w:rPr>
          <w:rFonts w:ascii="Calibri" w:cs="Calibri" w:eastAsia="Calibri" w:hAnsi="Calibri"/>
          <w:b/>
          <w:bCs/>
          <w:sz w:val="21"/>
          <w:szCs w:val="21"/>
        </w:rPr>
        <w:t xml:space="preserve">cash-settled payment</w:t>
      </w:r>
      <w:r>
        <w:rPr>
          <w:rFonts w:ascii="Calibri" w:cs="Calibri" w:eastAsia="Calibri" w:hAnsi="Calibri"/>
          <w:sz w:val="21"/>
          <w:szCs w:val="21"/>
        </w:rPr>
        <w:t xml:space="preserve"> may be treated as employment income in another jurisdiction; and</w:t>
      </w:r>
    </w:p>
    <w:p>
      <w:pPr>
        <w:spacing w:after="100" w:before="40" w:line="276"/>
        <w:ind w:left="1440" w:hanging="720"/>
        <w:jc w:val="both"/>
      </w:pPr>
      <w:r>
        <w:rPr>
          <w:rFonts w:ascii="Calibri" w:cs="Calibri" w:eastAsia="Calibri" w:hAnsi="Calibri"/>
          <w:sz w:val="21"/>
          <w:szCs w:val="21"/>
        </w:rPr>
        <w:t xml:space="preserve">(d)	</w:t>
      </w:r>
      <w:r>
        <w:rPr>
          <w:rFonts w:ascii="Calibri" w:cs="Calibri" w:eastAsia="Calibri" w:hAnsi="Calibri"/>
          <w:sz w:val="21"/>
          <w:szCs w:val="21"/>
        </w:rPr>
        <w:t xml:space="preserve">the </w:t>
      </w:r>
      <w:r>
        <w:rPr>
          <w:rFonts w:ascii="Calibri" w:cs="Calibri" w:eastAsia="Calibri" w:hAnsi="Calibri"/>
          <w:b/>
          <w:bCs/>
          <w:sz w:val="21"/>
          <w:szCs w:val="21"/>
        </w:rPr>
        <w:t xml:space="preserve">Company</w:t>
      </w:r>
      <w:r>
        <w:rPr>
          <w:rFonts w:ascii="Calibri" w:cs="Calibri" w:eastAsia="Calibri" w:hAnsi="Calibri"/>
          <w:sz w:val="21"/>
          <w:szCs w:val="21"/>
        </w:rPr>
        <w:t xml:space="preserve"> may face corporate tax consequences on the accounting charge or on a cash settlement.</w:t>
      </w:r>
    </w:p>
    <w:p>
      <w:pPr>
        <w:spacing w:after="120" w:before="60" w:line="276"/>
        <w:ind w:left="720" w:hanging="720"/>
        <w:jc w:val="both"/>
      </w:pPr>
      <w:r>
        <w:rPr>
          <w:rFonts w:ascii="Calibri" w:cs="Calibri" w:eastAsia="Calibri" w:hAnsi="Calibri"/>
          <w:sz w:val="21"/>
          <w:szCs w:val="21"/>
        </w:rPr>
        <w:t xml:space="preserve">5.3	</w:t>
      </w:r>
      <w:r>
        <w:rPr>
          <w:rFonts w:ascii="Calibri" w:cs="Calibri" w:eastAsia="Calibri" w:hAnsi="Calibri"/>
          <w:b/>
          <w:bCs/>
          <w:sz w:val="21"/>
          <w:szCs w:val="21"/>
        </w:rPr>
        <w:t xml:space="preserve">Each participant should take their own tax advice</w:t>
      </w:r>
      <w:r>
        <w:rPr>
          <w:rFonts w:ascii="Calibri" w:cs="Calibri" w:eastAsia="Calibri" w:hAnsi="Calibri"/>
          <w:sz w:val="21"/>
          <w:szCs w:val="21"/>
        </w:rPr>
        <w:t xml:space="preserve">, particularly where they hold another nationality or residence, or expect to move. The Company gives no tax advice.</w:t>
      </w:r>
    </w:p>
    <w:p>
      <w:pPr>
        <w:spacing w:after="120" w:before="60" w:line="276"/>
        <w:ind w:left="720" w:hanging="720"/>
        <w:jc w:val="both"/>
      </w:pPr>
      <w:r>
        <w:rPr>
          <w:rFonts w:ascii="Calibri" w:cs="Calibri" w:eastAsia="Calibri" w:hAnsi="Calibri"/>
          <w:sz w:val="21"/>
          <w:szCs w:val="21"/>
        </w:rPr>
        <w:t xml:space="preserve">5.4	</w:t>
      </w:r>
      <w:r>
        <w:rPr>
          <w:rFonts w:ascii="Calibri" w:cs="Calibri" w:eastAsia="Calibri" w:hAnsi="Calibri"/>
          <w:i/>
          <w:iCs/>
          <w:sz w:val="21"/>
          <w:szCs w:val="21"/>
        </w:rPr>
        <w:t xml:space="preserve">This is the mirror image of the Singapore position. There, a departing foreign employee can be taxed on options never exercised. Here there is no UAE charge at all — but a participant’s home country may tax the same award, and companies with internationally mobile staff should say so in the grant letter rather than letting silence imply there is no issue anywhere.</w:t>
      </w:r>
    </w:p>
    <w:p>
      <w:pPr>
        <w:keepNext/>
        <w:spacing w:after="120" w:before="280"/>
        <w:outlineLvl w:val="0"/>
      </w:pPr>
      <w:r>
        <w:rPr>
          <w:rFonts w:ascii="Calibri" w:cs="Calibri" w:eastAsia="Calibri" w:hAnsi="Calibri"/>
          <w:b/>
          <w:bCs/>
          <w:color w:val="14161B"/>
          <w:sz w:val="22"/>
          <w:szCs w:val="22"/>
        </w:rPr>
        <w:t xml:space="preserve">6. ADMINISTRATION</w:t>
      </w:r>
    </w:p>
    <w:tbl>
      <w:tblPr>
        <w:tblW w:type="dxa" w:w="9638"/>
        <w:tblBorders>
          <w:top w:val="single" w:color="B9BEC8" w:sz="4"/>
          <w:left w:val="single" w:color="B9BEC8" w:sz="4"/>
          <w:bottom w:val="single" w:color="B9BEC8" w:sz="4"/>
          <w:right w:val="single" w:color="B9BEC8" w:sz="4"/>
          <w:insideH w:val="single" w:color="D3D7DF" w:sz="2"/>
          <w:insideV w:val="single" w:color="D3D7DF" w:sz="2"/>
        </w:tblBorders>
      </w:tblPr>
      <w:tblGrid>
        <w:gridCol w:w="385"/>
        <w:gridCol w:w="5011"/>
        <w:gridCol w:w="2505"/>
        <w:gridCol w:w="1737"/>
      </w:tblGrid>
      <w:tr>
        <w:trPr>
          <w:cantSplit/>
          <w:tblHeader/>
        </w:trPr>
        <w:tc>
          <w:tcPr>
            <w:tcW w:type="dxa" w:w="385"/>
            <w:shd w:fill="EEF1FE" w:color="auto" w:val="clear"/>
            <w:tcMar>
              <w:top w:type="dxa" w:w="70"/>
              <w:left w:type="dxa" w:w="100"/>
              <w:bottom w:type="dxa" w:w="70"/>
              <w:right w:type="dxa" w:w="100"/>
            </w:tcMar>
            <w:vAlign w:val="center"/>
          </w:tcPr>
          <w:p>
            <w:pPr>
              <w:spacing w:after="0" w:line="240"/>
              <w:jc w:val="left"/>
            </w:pPr>
            <w:r>
              <w:rPr>
                <w:rFonts w:ascii="Calibri" w:cs="Calibri" w:eastAsia="Calibri" w:hAnsi="Calibri"/>
                <w:b/>
                <w:bCs/>
                <w:sz w:val="17"/>
                <w:szCs w:val="17"/>
              </w:rPr>
              <w:t xml:space="preserve">#</w:t>
            </w:r>
          </w:p>
        </w:tc>
        <w:tc>
          <w:tcPr>
            <w:tcW w:type="dxa" w:w="5011"/>
            <w:shd w:fill="EEF1FE" w:color="auto" w:val="clear"/>
            <w:tcMar>
              <w:top w:type="dxa" w:w="70"/>
              <w:left w:type="dxa" w:w="100"/>
              <w:bottom w:type="dxa" w:w="70"/>
              <w:right w:type="dxa" w:w="100"/>
            </w:tcMar>
            <w:vAlign w:val="center"/>
          </w:tcPr>
          <w:p>
            <w:pPr>
              <w:spacing w:after="0" w:line="240"/>
              <w:jc w:val="left"/>
            </w:pPr>
            <w:r>
              <w:rPr>
                <w:rFonts w:ascii="Calibri" w:cs="Calibri" w:eastAsia="Calibri" w:hAnsi="Calibri"/>
                <w:b/>
                <w:bCs/>
                <w:sz w:val="17"/>
                <w:szCs w:val="17"/>
              </w:rPr>
              <w:t xml:space="preserve">Task</w:t>
            </w:r>
          </w:p>
        </w:tc>
        <w:tc>
          <w:tcPr>
            <w:tcW w:type="dxa" w:w="2505"/>
            <w:shd w:fill="EEF1FE" w:color="auto" w:val="clear"/>
            <w:tcMar>
              <w:top w:type="dxa" w:w="70"/>
              <w:left w:type="dxa" w:w="100"/>
              <w:bottom w:type="dxa" w:w="70"/>
              <w:right w:type="dxa" w:w="100"/>
            </w:tcMar>
            <w:vAlign w:val="center"/>
          </w:tcPr>
          <w:p>
            <w:pPr>
              <w:spacing w:after="0" w:line="240"/>
              <w:jc w:val="left"/>
            </w:pPr>
            <w:r>
              <w:rPr>
                <w:rFonts w:ascii="Calibri" w:cs="Calibri" w:eastAsia="Calibri" w:hAnsi="Calibri"/>
                <w:b/>
                <w:bCs/>
                <w:sz w:val="17"/>
                <w:szCs w:val="17"/>
              </w:rPr>
              <w:t xml:space="preserve">Frequency</w:t>
            </w:r>
          </w:p>
        </w:tc>
        <w:tc>
          <w:tcPr>
            <w:tcW w:type="dxa" w:w="1737"/>
            <w:shd w:fill="EEF1FE" w:color="auto" w:val="clear"/>
            <w:tcMar>
              <w:top w:type="dxa" w:w="70"/>
              <w:left w:type="dxa" w:w="100"/>
              <w:bottom w:type="dxa" w:w="70"/>
              <w:right w:type="dxa" w:w="100"/>
            </w:tcMar>
            <w:vAlign w:val="center"/>
          </w:tcPr>
          <w:p>
            <w:pPr>
              <w:spacing w:after="0" w:line="240"/>
              <w:jc w:val="left"/>
            </w:pPr>
            <w:r>
              <w:rPr>
                <w:rFonts w:ascii="Calibri" w:cs="Calibri" w:eastAsia="Calibri" w:hAnsi="Calibri"/>
                <w:b/>
                <w:bCs/>
                <w:sz w:val="17"/>
                <w:szCs w:val="17"/>
              </w:rPr>
              <w:t xml:space="preserve">Done</w:t>
            </w:r>
          </w:p>
        </w:tc>
      </w:tr>
      <w:tr>
        <w:trPr>
          <w:cantSplit/>
        </w:trPr>
        <w:tc>
          <w:tcPr>
            <w:tcW w:type="dxa" w:w="385"/>
            <w:tcMar>
              <w:top w:type="dxa" w:w="70"/>
              <w:left w:type="dxa" w:w="100"/>
              <w:bottom w:type="dxa" w:w="70"/>
              <w:right w:type="dxa" w:w="100"/>
            </w:tcMar>
            <w:vAlign w:val="center"/>
          </w:tcPr>
          <w:p>
            <w:pPr>
              <w:spacing w:after="0" w:line="240"/>
              <w:jc w:val="left"/>
            </w:pPr>
            <w:r>
              <w:rPr>
                <w:rFonts w:ascii="Calibri" w:cs="Calibri" w:eastAsia="Calibri" w:hAnsi="Calibri"/>
                <w:sz w:val="17"/>
                <w:szCs w:val="17"/>
              </w:rPr>
              <w:t xml:space="preserve">1</w:t>
            </w:r>
          </w:p>
        </w:tc>
        <w:tc>
          <w:tcPr>
            <w:tcW w:type="dxa" w:w="5011"/>
            <w:tcMar>
              <w:top w:type="dxa" w:w="70"/>
              <w:left w:type="dxa" w:w="100"/>
              <w:bottom w:type="dxa" w:w="70"/>
              <w:right w:type="dxa" w:w="100"/>
            </w:tcMar>
            <w:vAlign w:val="center"/>
          </w:tcPr>
          <w:p>
            <w:pPr>
              <w:spacing w:after="0" w:line="240"/>
              <w:jc w:val="left"/>
            </w:pPr>
            <w:r>
              <w:rPr>
                <w:rFonts w:ascii="Calibri" w:cs="Calibri" w:eastAsia="Calibri" w:hAnsi="Calibri"/>
                <w:sz w:val="17"/>
                <w:szCs w:val="17"/>
              </w:rPr>
              <w:t xml:space="preserve">Confirm the entity can actually issue what is promised</w:t>
            </w:r>
          </w:p>
        </w:tc>
        <w:tc>
          <w:tcPr>
            <w:tcW w:type="dxa" w:w="2505"/>
            <w:tcMar>
              <w:top w:type="dxa" w:w="70"/>
              <w:left w:type="dxa" w:w="100"/>
              <w:bottom w:type="dxa" w:w="70"/>
              <w:right w:type="dxa" w:w="100"/>
            </w:tcMar>
            <w:vAlign w:val="center"/>
          </w:tcPr>
          <w:p>
            <w:pPr>
              <w:spacing w:after="0" w:line="240"/>
              <w:jc w:val="left"/>
            </w:pPr>
            <w:r>
              <w:rPr>
                <w:rFonts w:ascii="Calibri" w:cs="Calibri" w:eastAsia="Calibri" w:hAnsi="Calibri"/>
                <w:sz w:val="17"/>
                <w:szCs w:val="17"/>
              </w:rPr>
              <w:t xml:space="preserve">Before the first grant</w:t>
            </w:r>
          </w:p>
        </w:tc>
        <w:tc>
          <w:tcPr>
            <w:tcW w:type="dxa" w:w="1737"/>
            <w:tcMar>
              <w:top w:type="dxa" w:w="70"/>
              <w:left w:type="dxa" w:w="100"/>
              <w:bottom w:type="dxa" w:w="70"/>
              <w:right w:type="dxa" w:w="100"/>
            </w:tcMar>
            <w:vAlign w:val="center"/>
          </w:tcPr>
          <w:p>
            <w:pPr>
              <w:spacing w:after="0" w:line="240"/>
              <w:jc w:val="left"/>
            </w:pPr>
            <w:r>
              <w:rPr>
                <w:rFonts w:ascii="Calibri" w:cs="Calibri" w:eastAsia="Calibri" w:hAnsi="Calibri"/>
                <w:b/>
                <w:bCs/>
                <w:sz w:val="17"/>
                <w:szCs w:val="17"/>
              </w:rPr>
              <w:t xml:space="preserve">[DATE]</w:t>
            </w:r>
          </w:p>
        </w:tc>
      </w:tr>
      <w:tr>
        <w:trPr>
          <w:cantSplit/>
        </w:trPr>
        <w:tc>
          <w:tcPr>
            <w:tcW w:type="dxa" w:w="385"/>
            <w:tcMar>
              <w:top w:type="dxa" w:w="70"/>
              <w:left w:type="dxa" w:w="100"/>
              <w:bottom w:type="dxa" w:w="70"/>
              <w:right w:type="dxa" w:w="100"/>
            </w:tcMar>
            <w:vAlign w:val="center"/>
          </w:tcPr>
          <w:p>
            <w:pPr>
              <w:spacing w:after="0" w:line="240"/>
              <w:jc w:val="left"/>
            </w:pPr>
            <w:r>
              <w:rPr>
                <w:rFonts w:ascii="Calibri" w:cs="Calibri" w:eastAsia="Calibri" w:hAnsi="Calibri"/>
                <w:sz w:val="17"/>
                <w:szCs w:val="17"/>
              </w:rPr>
              <w:t xml:space="preserve">2</w:t>
            </w:r>
          </w:p>
        </w:tc>
        <w:tc>
          <w:tcPr>
            <w:tcW w:type="dxa" w:w="5011"/>
            <w:tcMar>
              <w:top w:type="dxa" w:w="70"/>
              <w:left w:type="dxa" w:w="100"/>
              <w:bottom w:type="dxa" w:w="70"/>
              <w:right w:type="dxa" w:w="100"/>
            </w:tcMar>
            <w:vAlign w:val="center"/>
          </w:tcPr>
          <w:p>
            <w:pPr>
              <w:spacing w:after="0" w:line="240"/>
              <w:jc w:val="left"/>
            </w:pPr>
            <w:r>
              <w:rPr>
                <w:rFonts w:ascii="Calibri" w:cs="Calibri" w:eastAsia="Calibri" w:hAnsi="Calibri"/>
                <w:sz w:val="17"/>
                <w:szCs w:val="17"/>
              </w:rPr>
              <w:t xml:space="preserve">Pool authorised and recorded</w:t>
            </w:r>
          </w:p>
        </w:tc>
        <w:tc>
          <w:tcPr>
            <w:tcW w:type="dxa" w:w="2505"/>
            <w:tcMar>
              <w:top w:type="dxa" w:w="70"/>
              <w:left w:type="dxa" w:w="100"/>
              <w:bottom w:type="dxa" w:w="70"/>
              <w:right w:type="dxa" w:w="100"/>
            </w:tcMar>
            <w:vAlign w:val="center"/>
          </w:tcPr>
          <w:p>
            <w:pPr>
              <w:spacing w:after="0" w:line="240"/>
              <w:jc w:val="left"/>
            </w:pPr>
            <w:r>
              <w:rPr>
                <w:rFonts w:ascii="Calibri" w:cs="Calibri" w:eastAsia="Calibri" w:hAnsi="Calibri"/>
                <w:sz w:val="17"/>
                <w:szCs w:val="17"/>
              </w:rPr>
              <w:t xml:space="preserve">At adoption</w:t>
            </w:r>
          </w:p>
        </w:tc>
        <w:tc>
          <w:tcPr>
            <w:tcW w:type="dxa" w:w="1737"/>
            <w:tcMar>
              <w:top w:type="dxa" w:w="70"/>
              <w:left w:type="dxa" w:w="100"/>
              <w:bottom w:type="dxa" w:w="70"/>
              <w:right w:type="dxa" w:w="100"/>
            </w:tcMar>
            <w:vAlign w:val="center"/>
          </w:tcPr>
          <w:p>
            <w:pPr>
              <w:spacing w:after="0" w:line="240"/>
              <w:jc w:val="left"/>
            </w:pPr>
            <w:r>
              <w:rPr>
                <w:rFonts w:ascii="Calibri" w:cs="Calibri" w:eastAsia="Calibri" w:hAnsi="Calibri"/>
                <w:b/>
                <w:bCs/>
                <w:sz w:val="17"/>
                <w:szCs w:val="17"/>
              </w:rPr>
              <w:t xml:space="preserve">[DATE]</w:t>
            </w:r>
          </w:p>
        </w:tc>
      </w:tr>
      <w:tr>
        <w:trPr>
          <w:cantSplit/>
        </w:trPr>
        <w:tc>
          <w:tcPr>
            <w:tcW w:type="dxa" w:w="385"/>
            <w:tcMar>
              <w:top w:type="dxa" w:w="70"/>
              <w:left w:type="dxa" w:w="100"/>
              <w:bottom w:type="dxa" w:w="70"/>
              <w:right w:type="dxa" w:w="100"/>
            </w:tcMar>
            <w:vAlign w:val="center"/>
          </w:tcPr>
          <w:p>
            <w:pPr>
              <w:spacing w:after="0" w:line="240"/>
              <w:jc w:val="left"/>
            </w:pPr>
            <w:r>
              <w:rPr>
                <w:rFonts w:ascii="Calibri" w:cs="Calibri" w:eastAsia="Calibri" w:hAnsi="Calibri"/>
                <w:sz w:val="17"/>
                <w:szCs w:val="17"/>
              </w:rPr>
              <w:t xml:space="preserve">3</w:t>
            </w:r>
          </w:p>
        </w:tc>
        <w:tc>
          <w:tcPr>
            <w:tcW w:type="dxa" w:w="5011"/>
            <w:tcMar>
              <w:top w:type="dxa" w:w="70"/>
              <w:left w:type="dxa" w:w="100"/>
              <w:bottom w:type="dxa" w:w="70"/>
              <w:right w:type="dxa" w:w="100"/>
            </w:tcMar>
            <w:vAlign w:val="center"/>
          </w:tcPr>
          <w:p>
            <w:pPr>
              <w:spacing w:after="0" w:line="240"/>
              <w:jc w:val="left"/>
            </w:pPr>
            <w:r>
              <w:rPr>
                <w:rFonts w:ascii="Calibri" w:cs="Calibri" w:eastAsia="Calibri" w:hAnsi="Calibri"/>
                <w:sz w:val="17"/>
                <w:szCs w:val="17"/>
              </w:rPr>
              <w:t xml:space="preserve">Grant letters issued and signed</w:t>
            </w:r>
          </w:p>
        </w:tc>
        <w:tc>
          <w:tcPr>
            <w:tcW w:type="dxa" w:w="2505"/>
            <w:tcMar>
              <w:top w:type="dxa" w:w="70"/>
              <w:left w:type="dxa" w:w="100"/>
              <w:bottom w:type="dxa" w:w="70"/>
              <w:right w:type="dxa" w:w="100"/>
            </w:tcMar>
            <w:vAlign w:val="center"/>
          </w:tcPr>
          <w:p>
            <w:pPr>
              <w:spacing w:after="0" w:line="240"/>
              <w:jc w:val="left"/>
            </w:pPr>
            <w:r>
              <w:rPr>
                <w:rFonts w:ascii="Calibri" w:cs="Calibri" w:eastAsia="Calibri" w:hAnsi="Calibri"/>
                <w:sz w:val="17"/>
                <w:szCs w:val="17"/>
              </w:rPr>
              <w:t xml:space="preserve">On each grant</w:t>
            </w:r>
          </w:p>
        </w:tc>
        <w:tc>
          <w:tcPr>
            <w:tcW w:type="dxa" w:w="1737"/>
            <w:tcMar>
              <w:top w:type="dxa" w:w="70"/>
              <w:left w:type="dxa" w:w="100"/>
              <w:bottom w:type="dxa" w:w="70"/>
              <w:right w:type="dxa" w:w="100"/>
            </w:tcMar>
            <w:vAlign w:val="center"/>
          </w:tcPr>
          <w:p>
            <w:pPr>
              <w:spacing w:after="0" w:line="240"/>
              <w:jc w:val="left"/>
            </w:pPr>
            <w:r>
              <w:rPr>
                <w:rFonts w:ascii="Calibri" w:cs="Calibri" w:eastAsia="Calibri" w:hAnsi="Calibri"/>
                <w:b/>
                <w:bCs/>
                <w:sz w:val="17"/>
                <w:szCs w:val="17"/>
              </w:rPr>
              <w:t xml:space="preserve">[DATE]</w:t>
            </w:r>
          </w:p>
        </w:tc>
      </w:tr>
      <w:tr>
        <w:trPr>
          <w:cantSplit/>
        </w:trPr>
        <w:tc>
          <w:tcPr>
            <w:tcW w:type="dxa" w:w="385"/>
            <w:tcMar>
              <w:top w:type="dxa" w:w="70"/>
              <w:left w:type="dxa" w:w="100"/>
              <w:bottom w:type="dxa" w:w="70"/>
              <w:right w:type="dxa" w:w="100"/>
            </w:tcMar>
            <w:vAlign w:val="center"/>
          </w:tcPr>
          <w:p>
            <w:pPr>
              <w:spacing w:after="0" w:line="240"/>
              <w:jc w:val="left"/>
            </w:pPr>
            <w:r>
              <w:rPr>
                <w:rFonts w:ascii="Calibri" w:cs="Calibri" w:eastAsia="Calibri" w:hAnsi="Calibri"/>
                <w:sz w:val="17"/>
                <w:szCs w:val="17"/>
              </w:rPr>
              <w:t xml:space="preserve">4</w:t>
            </w:r>
          </w:p>
        </w:tc>
        <w:tc>
          <w:tcPr>
            <w:tcW w:type="dxa" w:w="5011"/>
            <w:tcMar>
              <w:top w:type="dxa" w:w="70"/>
              <w:left w:type="dxa" w:w="100"/>
              <w:bottom w:type="dxa" w:w="70"/>
              <w:right w:type="dxa" w:w="100"/>
            </w:tcMar>
            <w:vAlign w:val="center"/>
          </w:tcPr>
          <w:p>
            <w:pPr>
              <w:spacing w:after="0" w:line="240"/>
              <w:jc w:val="left"/>
            </w:pPr>
            <w:r>
              <w:rPr>
                <w:rFonts w:ascii="Calibri" w:cs="Calibri" w:eastAsia="Calibri" w:hAnsi="Calibri"/>
                <w:b/>
                <w:bCs/>
                <w:sz w:val="17"/>
                <w:szCs w:val="17"/>
              </w:rPr>
              <w:t xml:space="preserve">Option or unit register maintained</w:t>
            </w:r>
          </w:p>
        </w:tc>
        <w:tc>
          <w:tcPr>
            <w:tcW w:type="dxa" w:w="2505"/>
            <w:tcMar>
              <w:top w:type="dxa" w:w="70"/>
              <w:left w:type="dxa" w:w="100"/>
              <w:bottom w:type="dxa" w:w="70"/>
              <w:right w:type="dxa" w:w="100"/>
            </w:tcMar>
            <w:vAlign w:val="center"/>
          </w:tcPr>
          <w:p>
            <w:pPr>
              <w:spacing w:after="0" w:line="240"/>
              <w:jc w:val="left"/>
            </w:pPr>
            <w:r>
              <w:rPr>
                <w:rFonts w:ascii="Calibri" w:cs="Calibri" w:eastAsia="Calibri" w:hAnsi="Calibri"/>
                <w:sz w:val="17"/>
                <w:szCs w:val="17"/>
              </w:rPr>
              <w:t xml:space="preserve">Continuous</w:t>
            </w:r>
          </w:p>
        </w:tc>
        <w:tc>
          <w:tcPr>
            <w:tcW w:type="dxa" w:w="1737"/>
            <w:tcMar>
              <w:top w:type="dxa" w:w="70"/>
              <w:left w:type="dxa" w:w="100"/>
              <w:bottom w:type="dxa" w:w="70"/>
              <w:right w:type="dxa" w:w="100"/>
            </w:tcMar>
            <w:vAlign w:val="center"/>
          </w:tcPr>
          <w:p>
            <w:pPr>
              <w:spacing w:after="0" w:line="240"/>
              <w:jc w:val="left"/>
            </w:pPr>
            <w:r>
              <w:rPr>
                <w:rFonts w:ascii="Calibri" w:cs="Calibri" w:eastAsia="Calibri" w:hAnsi="Calibri"/>
                <w:b/>
                <w:bCs/>
                <w:sz w:val="17"/>
                <w:szCs w:val="17"/>
              </w:rPr>
              <w:t xml:space="preserve">[DATE]</w:t>
            </w:r>
          </w:p>
        </w:tc>
      </w:tr>
      <w:tr>
        <w:trPr>
          <w:cantSplit/>
        </w:trPr>
        <w:tc>
          <w:tcPr>
            <w:tcW w:type="dxa" w:w="385"/>
            <w:tcMar>
              <w:top w:type="dxa" w:w="70"/>
              <w:left w:type="dxa" w:w="100"/>
              <w:bottom w:type="dxa" w:w="70"/>
              <w:right w:type="dxa" w:w="100"/>
            </w:tcMar>
            <w:vAlign w:val="center"/>
          </w:tcPr>
          <w:p>
            <w:pPr>
              <w:spacing w:after="0" w:line="240"/>
              <w:jc w:val="left"/>
            </w:pPr>
            <w:r>
              <w:rPr>
                <w:rFonts w:ascii="Calibri" w:cs="Calibri" w:eastAsia="Calibri" w:hAnsi="Calibri"/>
                <w:sz w:val="17"/>
                <w:szCs w:val="17"/>
              </w:rPr>
              <w:t xml:space="preserve">5</w:t>
            </w:r>
          </w:p>
        </w:tc>
        <w:tc>
          <w:tcPr>
            <w:tcW w:type="dxa" w:w="5011"/>
            <w:tcMar>
              <w:top w:type="dxa" w:w="70"/>
              <w:left w:type="dxa" w:w="100"/>
              <w:bottom w:type="dxa" w:w="70"/>
              <w:right w:type="dxa" w:w="100"/>
            </w:tcMar>
            <w:vAlign w:val="center"/>
          </w:tcPr>
          <w:p>
            <w:pPr>
              <w:spacing w:after="0" w:line="240"/>
              <w:jc w:val="left"/>
            </w:pPr>
            <w:r>
              <w:rPr>
                <w:rFonts w:ascii="Calibri" w:cs="Calibri" w:eastAsia="Calibri" w:hAnsi="Calibri"/>
                <w:sz w:val="17"/>
                <w:szCs w:val="17"/>
              </w:rPr>
              <w:t xml:space="preserve">Register reconciled to the cap table</w:t>
            </w:r>
          </w:p>
        </w:tc>
        <w:tc>
          <w:tcPr>
            <w:tcW w:type="dxa" w:w="2505"/>
            <w:tcMar>
              <w:top w:type="dxa" w:w="70"/>
              <w:left w:type="dxa" w:w="100"/>
              <w:bottom w:type="dxa" w:w="70"/>
              <w:right w:type="dxa" w:w="100"/>
            </w:tcMar>
            <w:vAlign w:val="center"/>
          </w:tcPr>
          <w:p>
            <w:pPr>
              <w:spacing w:after="0" w:line="240"/>
              <w:jc w:val="left"/>
            </w:pPr>
            <w:r>
              <w:rPr>
                <w:rFonts w:ascii="Calibri" w:cs="Calibri" w:eastAsia="Calibri" w:hAnsi="Calibri"/>
                <w:sz w:val="17"/>
                <w:szCs w:val="17"/>
              </w:rPr>
              <w:t xml:space="preserve">Quarterly</w:t>
            </w:r>
          </w:p>
        </w:tc>
        <w:tc>
          <w:tcPr>
            <w:tcW w:type="dxa" w:w="1737"/>
            <w:tcMar>
              <w:top w:type="dxa" w:w="70"/>
              <w:left w:type="dxa" w:w="100"/>
              <w:bottom w:type="dxa" w:w="70"/>
              <w:right w:type="dxa" w:w="100"/>
            </w:tcMar>
            <w:vAlign w:val="center"/>
          </w:tcPr>
          <w:p>
            <w:pPr>
              <w:spacing w:after="0" w:line="240"/>
              <w:jc w:val="left"/>
            </w:pPr>
            <w:r>
              <w:rPr>
                <w:rFonts w:ascii="Calibri" w:cs="Calibri" w:eastAsia="Calibri" w:hAnsi="Calibri"/>
                <w:b/>
                <w:bCs/>
                <w:sz w:val="17"/>
                <w:szCs w:val="17"/>
              </w:rPr>
              <w:t xml:space="preserve">[DATE]</w:t>
            </w:r>
          </w:p>
        </w:tc>
      </w:tr>
      <w:tr>
        <w:trPr>
          <w:cantSplit/>
        </w:trPr>
        <w:tc>
          <w:tcPr>
            <w:tcW w:type="dxa" w:w="385"/>
            <w:tcMar>
              <w:top w:type="dxa" w:w="70"/>
              <w:left w:type="dxa" w:w="100"/>
              <w:bottom w:type="dxa" w:w="70"/>
              <w:right w:type="dxa" w:w="100"/>
            </w:tcMar>
            <w:vAlign w:val="center"/>
          </w:tcPr>
          <w:p>
            <w:pPr>
              <w:spacing w:after="0" w:line="240"/>
              <w:jc w:val="left"/>
            </w:pPr>
            <w:r>
              <w:rPr>
                <w:rFonts w:ascii="Calibri" w:cs="Calibri" w:eastAsia="Calibri" w:hAnsi="Calibri"/>
                <w:sz w:val="17"/>
                <w:szCs w:val="17"/>
              </w:rPr>
              <w:t xml:space="preserve">6</w:t>
            </w:r>
          </w:p>
        </w:tc>
        <w:tc>
          <w:tcPr>
            <w:tcW w:type="dxa" w:w="5011"/>
            <w:tcMar>
              <w:top w:type="dxa" w:w="70"/>
              <w:left w:type="dxa" w:w="100"/>
              <w:bottom w:type="dxa" w:w="70"/>
              <w:right w:type="dxa" w:w="100"/>
            </w:tcMar>
            <w:vAlign w:val="center"/>
          </w:tcPr>
          <w:p>
            <w:pPr>
              <w:spacing w:after="0" w:line="240"/>
              <w:jc w:val="left"/>
            </w:pPr>
            <w:r>
              <w:rPr>
                <w:rFonts w:ascii="Calibri" w:cs="Calibri" w:eastAsia="Calibri" w:hAnsi="Calibri"/>
                <w:sz w:val="17"/>
                <w:szCs w:val="17"/>
              </w:rPr>
              <w:t xml:space="preserve">Vesting tracked per participant</w:t>
            </w:r>
          </w:p>
        </w:tc>
        <w:tc>
          <w:tcPr>
            <w:tcW w:type="dxa" w:w="2505"/>
            <w:tcMar>
              <w:top w:type="dxa" w:w="70"/>
              <w:left w:type="dxa" w:w="100"/>
              <w:bottom w:type="dxa" w:w="70"/>
              <w:right w:type="dxa" w:w="100"/>
            </w:tcMar>
            <w:vAlign w:val="center"/>
          </w:tcPr>
          <w:p>
            <w:pPr>
              <w:spacing w:after="0" w:line="240"/>
              <w:jc w:val="left"/>
            </w:pPr>
            <w:r>
              <w:rPr>
                <w:rFonts w:ascii="Calibri" w:cs="Calibri" w:eastAsia="Calibri" w:hAnsi="Calibri"/>
                <w:sz w:val="17"/>
                <w:szCs w:val="17"/>
              </w:rPr>
              <w:t xml:space="preserve">Continuous</w:t>
            </w:r>
          </w:p>
        </w:tc>
        <w:tc>
          <w:tcPr>
            <w:tcW w:type="dxa" w:w="1737"/>
            <w:tcMar>
              <w:top w:type="dxa" w:w="70"/>
              <w:left w:type="dxa" w:w="100"/>
              <w:bottom w:type="dxa" w:w="70"/>
              <w:right w:type="dxa" w:w="100"/>
            </w:tcMar>
            <w:vAlign w:val="center"/>
          </w:tcPr>
          <w:p>
            <w:pPr>
              <w:spacing w:after="0" w:line="240"/>
              <w:jc w:val="left"/>
            </w:pPr>
            <w:r>
              <w:rPr>
                <w:rFonts w:ascii="Calibri" w:cs="Calibri" w:eastAsia="Calibri" w:hAnsi="Calibri"/>
                <w:b/>
                <w:bCs/>
                <w:sz w:val="17"/>
                <w:szCs w:val="17"/>
              </w:rPr>
              <w:t xml:space="preserve">[DATE]</w:t>
            </w:r>
          </w:p>
        </w:tc>
      </w:tr>
      <w:tr>
        <w:trPr>
          <w:cantSplit/>
        </w:trPr>
        <w:tc>
          <w:tcPr>
            <w:tcW w:type="dxa" w:w="385"/>
            <w:tcMar>
              <w:top w:type="dxa" w:w="70"/>
              <w:left w:type="dxa" w:w="100"/>
              <w:bottom w:type="dxa" w:w="70"/>
              <w:right w:type="dxa" w:w="100"/>
            </w:tcMar>
            <w:vAlign w:val="center"/>
          </w:tcPr>
          <w:p>
            <w:pPr>
              <w:spacing w:after="0" w:line="240"/>
              <w:jc w:val="left"/>
            </w:pPr>
            <w:r>
              <w:rPr>
                <w:rFonts w:ascii="Calibri" w:cs="Calibri" w:eastAsia="Calibri" w:hAnsi="Calibri"/>
                <w:sz w:val="17"/>
                <w:szCs w:val="17"/>
              </w:rPr>
              <w:t xml:space="preserve">7</w:t>
            </w:r>
          </w:p>
        </w:tc>
        <w:tc>
          <w:tcPr>
            <w:tcW w:type="dxa" w:w="5011"/>
            <w:tcMar>
              <w:top w:type="dxa" w:w="70"/>
              <w:left w:type="dxa" w:w="100"/>
              <w:bottom w:type="dxa" w:w="70"/>
              <w:right w:type="dxa" w:w="100"/>
            </w:tcMar>
            <w:vAlign w:val="center"/>
          </w:tcPr>
          <w:p>
            <w:pPr>
              <w:spacing w:after="0" w:line="240"/>
              <w:jc w:val="left"/>
            </w:pPr>
            <w:r>
              <w:rPr>
                <w:rFonts w:ascii="Calibri" w:cs="Calibri" w:eastAsia="Calibri" w:hAnsi="Calibri"/>
                <w:sz w:val="17"/>
                <w:szCs w:val="17"/>
              </w:rPr>
              <w:t xml:space="preserve">Pool availability checked before each grant</w:t>
            </w:r>
          </w:p>
        </w:tc>
        <w:tc>
          <w:tcPr>
            <w:tcW w:type="dxa" w:w="2505"/>
            <w:tcMar>
              <w:top w:type="dxa" w:w="70"/>
              <w:left w:type="dxa" w:w="100"/>
              <w:bottom w:type="dxa" w:w="70"/>
              <w:right w:type="dxa" w:w="100"/>
            </w:tcMar>
            <w:vAlign w:val="center"/>
          </w:tcPr>
          <w:p>
            <w:pPr>
              <w:spacing w:after="0" w:line="240"/>
              <w:jc w:val="left"/>
            </w:pPr>
            <w:r>
              <w:rPr>
                <w:rFonts w:ascii="Calibri" w:cs="Calibri" w:eastAsia="Calibri" w:hAnsi="Calibri"/>
                <w:sz w:val="17"/>
                <w:szCs w:val="17"/>
              </w:rPr>
              <w:t xml:space="preserve">On each grant</w:t>
            </w:r>
          </w:p>
        </w:tc>
        <w:tc>
          <w:tcPr>
            <w:tcW w:type="dxa" w:w="1737"/>
            <w:tcMar>
              <w:top w:type="dxa" w:w="70"/>
              <w:left w:type="dxa" w:w="100"/>
              <w:bottom w:type="dxa" w:w="70"/>
              <w:right w:type="dxa" w:w="100"/>
            </w:tcMar>
            <w:vAlign w:val="center"/>
          </w:tcPr>
          <w:p>
            <w:pPr>
              <w:spacing w:after="0" w:line="240"/>
              <w:jc w:val="left"/>
            </w:pPr>
            <w:r>
              <w:rPr>
                <w:rFonts w:ascii="Calibri" w:cs="Calibri" w:eastAsia="Calibri" w:hAnsi="Calibri"/>
                <w:b/>
                <w:bCs/>
                <w:sz w:val="17"/>
                <w:szCs w:val="17"/>
              </w:rPr>
              <w:t xml:space="preserve">[DATE]</w:t>
            </w:r>
          </w:p>
        </w:tc>
      </w:tr>
      <w:tr>
        <w:trPr>
          <w:cantSplit/>
        </w:trPr>
        <w:tc>
          <w:tcPr>
            <w:tcW w:type="dxa" w:w="385"/>
            <w:tcMar>
              <w:top w:type="dxa" w:w="70"/>
              <w:left w:type="dxa" w:w="100"/>
              <w:bottom w:type="dxa" w:w="70"/>
              <w:right w:type="dxa" w:w="100"/>
            </w:tcMar>
            <w:vAlign w:val="center"/>
          </w:tcPr>
          <w:p>
            <w:pPr>
              <w:spacing w:after="0" w:line="240"/>
              <w:jc w:val="left"/>
            </w:pPr>
            <w:r>
              <w:rPr>
                <w:rFonts w:ascii="Calibri" w:cs="Calibri" w:eastAsia="Calibri" w:hAnsi="Calibri"/>
                <w:sz w:val="17"/>
                <w:szCs w:val="17"/>
              </w:rPr>
              <w:t xml:space="preserve">8</w:t>
            </w:r>
          </w:p>
        </w:tc>
        <w:tc>
          <w:tcPr>
            <w:tcW w:type="dxa" w:w="5011"/>
            <w:tcMar>
              <w:top w:type="dxa" w:w="70"/>
              <w:left w:type="dxa" w:w="100"/>
              <w:bottom w:type="dxa" w:w="70"/>
              <w:right w:type="dxa" w:w="100"/>
            </w:tcMar>
            <w:vAlign w:val="center"/>
          </w:tcPr>
          <w:p>
            <w:pPr>
              <w:spacing w:after="0" w:line="240"/>
              <w:jc w:val="left"/>
            </w:pPr>
            <w:r>
              <w:rPr>
                <w:rFonts w:ascii="Calibri" w:cs="Calibri" w:eastAsia="Calibri" w:hAnsi="Calibri"/>
                <w:b/>
                <w:bCs/>
                <w:sz w:val="17"/>
                <w:szCs w:val="17"/>
              </w:rPr>
              <w:t xml:space="preserve">Undocumented promises identified and regularised</w:t>
            </w:r>
          </w:p>
        </w:tc>
        <w:tc>
          <w:tcPr>
            <w:tcW w:type="dxa" w:w="2505"/>
            <w:tcMar>
              <w:top w:type="dxa" w:w="70"/>
              <w:left w:type="dxa" w:w="100"/>
              <w:bottom w:type="dxa" w:w="70"/>
              <w:right w:type="dxa" w:w="100"/>
            </w:tcMar>
            <w:vAlign w:val="center"/>
          </w:tcPr>
          <w:p>
            <w:pPr>
              <w:spacing w:after="0" w:line="240"/>
              <w:jc w:val="left"/>
            </w:pPr>
            <w:r>
              <w:rPr>
                <w:rFonts w:ascii="Calibri" w:cs="Calibri" w:eastAsia="Calibri" w:hAnsi="Calibri"/>
                <w:sz w:val="17"/>
                <w:szCs w:val="17"/>
              </w:rPr>
              <w:t xml:space="preserve">Now, then ongoing</w:t>
            </w:r>
          </w:p>
        </w:tc>
        <w:tc>
          <w:tcPr>
            <w:tcW w:type="dxa" w:w="1737"/>
            <w:tcMar>
              <w:top w:type="dxa" w:w="70"/>
              <w:left w:type="dxa" w:w="100"/>
              <w:bottom w:type="dxa" w:w="70"/>
              <w:right w:type="dxa" w:w="100"/>
            </w:tcMar>
            <w:vAlign w:val="center"/>
          </w:tcPr>
          <w:p>
            <w:pPr>
              <w:spacing w:after="0" w:line="240"/>
              <w:jc w:val="left"/>
            </w:pPr>
            <w:r>
              <w:rPr>
                <w:rFonts w:ascii="Calibri" w:cs="Calibri" w:eastAsia="Calibri" w:hAnsi="Calibri"/>
                <w:b/>
                <w:bCs/>
                <w:sz w:val="17"/>
                <w:szCs w:val="17"/>
              </w:rPr>
              <w:t xml:space="preserve">[DATE]</w:t>
            </w:r>
          </w:p>
        </w:tc>
      </w:tr>
      <w:tr>
        <w:trPr>
          <w:cantSplit/>
        </w:trPr>
        <w:tc>
          <w:tcPr>
            <w:tcW w:type="dxa" w:w="385"/>
            <w:tcMar>
              <w:top w:type="dxa" w:w="70"/>
              <w:left w:type="dxa" w:w="100"/>
              <w:bottom w:type="dxa" w:w="70"/>
              <w:right w:type="dxa" w:w="100"/>
            </w:tcMar>
            <w:vAlign w:val="center"/>
          </w:tcPr>
          <w:p>
            <w:pPr>
              <w:spacing w:after="0" w:line="240"/>
              <w:jc w:val="left"/>
            </w:pPr>
            <w:r>
              <w:rPr>
                <w:rFonts w:ascii="Calibri" w:cs="Calibri" w:eastAsia="Calibri" w:hAnsi="Calibri"/>
                <w:sz w:val="17"/>
                <w:szCs w:val="17"/>
              </w:rPr>
              <w:t xml:space="preserve">9</w:t>
            </w:r>
          </w:p>
        </w:tc>
        <w:tc>
          <w:tcPr>
            <w:tcW w:type="dxa" w:w="5011"/>
            <w:tcMar>
              <w:top w:type="dxa" w:w="70"/>
              <w:left w:type="dxa" w:w="100"/>
              <w:bottom w:type="dxa" w:w="70"/>
              <w:right w:type="dxa" w:w="100"/>
            </w:tcMar>
            <w:vAlign w:val="center"/>
          </w:tcPr>
          <w:p>
            <w:pPr>
              <w:spacing w:after="0" w:line="240"/>
              <w:jc w:val="left"/>
            </w:pPr>
            <w:r>
              <w:rPr>
                <w:rFonts w:ascii="Calibri" w:cs="Calibri" w:eastAsia="Calibri" w:hAnsi="Calibri"/>
                <w:sz w:val="17"/>
                <w:szCs w:val="17"/>
              </w:rPr>
              <w:t xml:space="preserve">Leaver treatment applied and recorded consistently</w:t>
            </w:r>
          </w:p>
        </w:tc>
        <w:tc>
          <w:tcPr>
            <w:tcW w:type="dxa" w:w="2505"/>
            <w:tcMar>
              <w:top w:type="dxa" w:w="70"/>
              <w:left w:type="dxa" w:w="100"/>
              <w:bottom w:type="dxa" w:w="70"/>
              <w:right w:type="dxa" w:w="100"/>
            </w:tcMar>
            <w:vAlign w:val="center"/>
          </w:tcPr>
          <w:p>
            <w:pPr>
              <w:spacing w:after="0" w:line="240"/>
              <w:jc w:val="left"/>
            </w:pPr>
            <w:r>
              <w:rPr>
                <w:rFonts w:ascii="Calibri" w:cs="Calibri" w:eastAsia="Calibri" w:hAnsi="Calibri"/>
                <w:sz w:val="17"/>
                <w:szCs w:val="17"/>
              </w:rPr>
              <w:t xml:space="preserve">On each departure</w:t>
            </w:r>
          </w:p>
        </w:tc>
        <w:tc>
          <w:tcPr>
            <w:tcW w:type="dxa" w:w="1737"/>
            <w:tcMar>
              <w:top w:type="dxa" w:w="70"/>
              <w:left w:type="dxa" w:w="100"/>
              <w:bottom w:type="dxa" w:w="70"/>
              <w:right w:type="dxa" w:w="100"/>
            </w:tcMar>
            <w:vAlign w:val="center"/>
          </w:tcPr>
          <w:p>
            <w:pPr>
              <w:spacing w:after="0" w:line="240"/>
              <w:jc w:val="left"/>
            </w:pPr>
            <w:r>
              <w:rPr>
                <w:rFonts w:ascii="Calibri" w:cs="Calibri" w:eastAsia="Calibri" w:hAnsi="Calibri"/>
                <w:b/>
                <w:bCs/>
                <w:sz w:val="17"/>
                <w:szCs w:val="17"/>
              </w:rPr>
              <w:t xml:space="preserve">[DATE]</w:t>
            </w:r>
          </w:p>
        </w:tc>
      </w:tr>
      <w:tr>
        <w:trPr>
          <w:cantSplit/>
        </w:trPr>
        <w:tc>
          <w:tcPr>
            <w:tcW w:type="dxa" w:w="385"/>
            <w:tcMar>
              <w:top w:type="dxa" w:w="70"/>
              <w:left w:type="dxa" w:w="100"/>
              <w:bottom w:type="dxa" w:w="70"/>
              <w:right w:type="dxa" w:w="100"/>
            </w:tcMar>
            <w:vAlign w:val="center"/>
          </w:tcPr>
          <w:p>
            <w:pPr>
              <w:spacing w:after="0" w:line="240"/>
              <w:jc w:val="left"/>
            </w:pPr>
            <w:r>
              <w:rPr>
                <w:rFonts w:ascii="Calibri" w:cs="Calibri" w:eastAsia="Calibri" w:hAnsi="Calibri"/>
                <w:sz w:val="17"/>
                <w:szCs w:val="17"/>
              </w:rPr>
              <w:t xml:space="preserve">10</w:t>
            </w:r>
          </w:p>
        </w:tc>
        <w:tc>
          <w:tcPr>
            <w:tcW w:type="dxa" w:w="5011"/>
            <w:tcMar>
              <w:top w:type="dxa" w:w="70"/>
              <w:left w:type="dxa" w:w="100"/>
              <w:bottom w:type="dxa" w:w="70"/>
              <w:right w:type="dxa" w:w="100"/>
            </w:tcMar>
            <w:vAlign w:val="center"/>
          </w:tcPr>
          <w:p>
            <w:pPr>
              <w:spacing w:after="0" w:line="240"/>
              <w:jc w:val="left"/>
            </w:pPr>
            <w:r>
              <w:rPr>
                <w:rFonts w:ascii="Calibri" w:cs="Calibri" w:eastAsia="Calibri" w:hAnsi="Calibri"/>
                <w:sz w:val="17"/>
                <w:szCs w:val="17"/>
              </w:rPr>
              <w:t xml:space="preserve">Exercise window explained before visa cancellation</w:t>
            </w:r>
          </w:p>
        </w:tc>
        <w:tc>
          <w:tcPr>
            <w:tcW w:type="dxa" w:w="2505"/>
            <w:tcMar>
              <w:top w:type="dxa" w:w="70"/>
              <w:left w:type="dxa" w:w="100"/>
              <w:bottom w:type="dxa" w:w="70"/>
              <w:right w:type="dxa" w:w="100"/>
            </w:tcMar>
            <w:vAlign w:val="center"/>
          </w:tcPr>
          <w:p>
            <w:pPr>
              <w:spacing w:after="0" w:line="240"/>
              <w:jc w:val="left"/>
            </w:pPr>
            <w:r>
              <w:rPr>
                <w:rFonts w:ascii="Calibri" w:cs="Calibri" w:eastAsia="Calibri" w:hAnsi="Calibri"/>
                <w:sz w:val="17"/>
                <w:szCs w:val="17"/>
              </w:rPr>
              <w:t xml:space="preserve">On each departure</w:t>
            </w:r>
          </w:p>
        </w:tc>
        <w:tc>
          <w:tcPr>
            <w:tcW w:type="dxa" w:w="1737"/>
            <w:tcMar>
              <w:top w:type="dxa" w:w="70"/>
              <w:left w:type="dxa" w:w="100"/>
              <w:bottom w:type="dxa" w:w="70"/>
              <w:right w:type="dxa" w:w="100"/>
            </w:tcMar>
            <w:vAlign w:val="center"/>
          </w:tcPr>
          <w:p>
            <w:pPr>
              <w:spacing w:after="0" w:line="240"/>
              <w:jc w:val="left"/>
            </w:pPr>
            <w:r>
              <w:rPr>
                <w:rFonts w:ascii="Calibri" w:cs="Calibri" w:eastAsia="Calibri" w:hAnsi="Calibri"/>
                <w:b/>
                <w:bCs/>
                <w:sz w:val="17"/>
                <w:szCs w:val="17"/>
              </w:rPr>
              <w:t xml:space="preserve">[DATE]</w:t>
            </w:r>
          </w:p>
        </w:tc>
      </w:tr>
      <w:tr>
        <w:trPr>
          <w:cantSplit/>
        </w:trPr>
        <w:tc>
          <w:tcPr>
            <w:tcW w:type="dxa" w:w="385"/>
            <w:tcMar>
              <w:top w:type="dxa" w:w="70"/>
              <w:left w:type="dxa" w:w="100"/>
              <w:bottom w:type="dxa" w:w="70"/>
              <w:right w:type="dxa" w:w="100"/>
            </w:tcMar>
            <w:vAlign w:val="center"/>
          </w:tcPr>
          <w:p>
            <w:pPr>
              <w:spacing w:after="0" w:line="240"/>
              <w:jc w:val="left"/>
            </w:pPr>
            <w:r>
              <w:rPr>
                <w:rFonts w:ascii="Calibri" w:cs="Calibri" w:eastAsia="Calibri" w:hAnsi="Calibri"/>
                <w:sz w:val="17"/>
                <w:szCs w:val="17"/>
              </w:rPr>
              <w:t xml:space="preserve">11</w:t>
            </w:r>
          </w:p>
        </w:tc>
        <w:tc>
          <w:tcPr>
            <w:tcW w:type="dxa" w:w="5011"/>
            <w:tcMar>
              <w:top w:type="dxa" w:w="70"/>
              <w:left w:type="dxa" w:w="100"/>
              <w:bottom w:type="dxa" w:w="70"/>
              <w:right w:type="dxa" w:w="100"/>
            </w:tcMar>
            <w:vAlign w:val="center"/>
          </w:tcPr>
          <w:p>
            <w:pPr>
              <w:spacing w:after="0" w:line="240"/>
              <w:jc w:val="left"/>
            </w:pPr>
            <w:r>
              <w:rPr>
                <w:rFonts w:ascii="Calibri" w:cs="Calibri" w:eastAsia="Calibri" w:hAnsi="Calibri"/>
                <w:sz w:val="17"/>
                <w:szCs w:val="17"/>
              </w:rPr>
              <w:t xml:space="preserve">Valuation basis reviewed</w:t>
            </w:r>
          </w:p>
        </w:tc>
        <w:tc>
          <w:tcPr>
            <w:tcW w:type="dxa" w:w="2505"/>
            <w:tcMar>
              <w:top w:type="dxa" w:w="70"/>
              <w:left w:type="dxa" w:w="100"/>
              <w:bottom w:type="dxa" w:w="70"/>
              <w:right w:type="dxa" w:w="100"/>
            </w:tcMar>
            <w:vAlign w:val="center"/>
          </w:tcPr>
          <w:p>
            <w:pPr>
              <w:spacing w:after="0" w:line="240"/>
              <w:jc w:val="left"/>
            </w:pPr>
            <w:r>
              <w:rPr>
                <w:rFonts w:ascii="Calibri" w:cs="Calibri" w:eastAsia="Calibri" w:hAnsi="Calibri"/>
                <w:sz w:val="17"/>
                <w:szCs w:val="17"/>
              </w:rPr>
              <w:t xml:space="preserve">Annually</w:t>
            </w:r>
          </w:p>
        </w:tc>
        <w:tc>
          <w:tcPr>
            <w:tcW w:type="dxa" w:w="1737"/>
            <w:tcMar>
              <w:top w:type="dxa" w:w="70"/>
              <w:left w:type="dxa" w:w="100"/>
              <w:bottom w:type="dxa" w:w="70"/>
              <w:right w:type="dxa" w:w="100"/>
            </w:tcMar>
            <w:vAlign w:val="center"/>
          </w:tcPr>
          <w:p>
            <w:pPr>
              <w:spacing w:after="0" w:line="240"/>
              <w:jc w:val="left"/>
            </w:pPr>
            <w:r>
              <w:rPr>
                <w:rFonts w:ascii="Calibri" w:cs="Calibri" w:eastAsia="Calibri" w:hAnsi="Calibri"/>
                <w:b/>
                <w:bCs/>
                <w:sz w:val="17"/>
                <w:szCs w:val="17"/>
              </w:rPr>
              <w:t xml:space="preserve">[DATE]</w:t>
            </w:r>
          </w:p>
        </w:tc>
      </w:tr>
      <w:tr>
        <w:trPr>
          <w:cantSplit/>
        </w:trPr>
        <w:tc>
          <w:tcPr>
            <w:tcW w:type="dxa" w:w="385"/>
            <w:tcMar>
              <w:top w:type="dxa" w:w="70"/>
              <w:left w:type="dxa" w:w="100"/>
              <w:bottom w:type="dxa" w:w="70"/>
              <w:right w:type="dxa" w:w="100"/>
            </w:tcMar>
            <w:vAlign w:val="center"/>
          </w:tcPr>
          <w:p>
            <w:pPr>
              <w:spacing w:after="0" w:line="240"/>
              <w:jc w:val="left"/>
            </w:pPr>
            <w:r>
              <w:rPr>
                <w:rFonts w:ascii="Calibri" w:cs="Calibri" w:eastAsia="Calibri" w:hAnsi="Calibri"/>
                <w:sz w:val="17"/>
                <w:szCs w:val="17"/>
              </w:rPr>
              <w:t xml:space="preserve">12</w:t>
            </w:r>
          </w:p>
        </w:tc>
        <w:tc>
          <w:tcPr>
            <w:tcW w:type="dxa" w:w="5011"/>
            <w:tcMar>
              <w:top w:type="dxa" w:w="70"/>
              <w:left w:type="dxa" w:w="100"/>
              <w:bottom w:type="dxa" w:w="70"/>
              <w:right w:type="dxa" w:w="100"/>
            </w:tcMar>
            <w:vAlign w:val="center"/>
          </w:tcPr>
          <w:p>
            <w:pPr>
              <w:spacing w:after="0" w:line="240"/>
              <w:jc w:val="left"/>
            </w:pPr>
            <w:r>
              <w:rPr>
                <w:rFonts w:ascii="Calibri" w:cs="Calibri" w:eastAsia="Calibri" w:hAnsi="Calibri"/>
                <w:sz w:val="17"/>
                <w:szCs w:val="17"/>
              </w:rPr>
              <w:t xml:space="preserve">Accounting charge and corporate tax treatment reviewed</w:t>
            </w:r>
          </w:p>
        </w:tc>
        <w:tc>
          <w:tcPr>
            <w:tcW w:type="dxa" w:w="2505"/>
            <w:tcMar>
              <w:top w:type="dxa" w:w="70"/>
              <w:left w:type="dxa" w:w="100"/>
              <w:bottom w:type="dxa" w:w="70"/>
              <w:right w:type="dxa" w:w="100"/>
            </w:tcMar>
            <w:vAlign w:val="center"/>
          </w:tcPr>
          <w:p>
            <w:pPr>
              <w:spacing w:after="0" w:line="240"/>
              <w:jc w:val="left"/>
            </w:pPr>
            <w:r>
              <w:rPr>
                <w:rFonts w:ascii="Calibri" w:cs="Calibri" w:eastAsia="Calibri" w:hAnsi="Calibri"/>
                <w:sz w:val="17"/>
                <w:szCs w:val="17"/>
              </w:rPr>
              <w:t xml:space="preserve">Annually</w:t>
            </w:r>
          </w:p>
        </w:tc>
        <w:tc>
          <w:tcPr>
            <w:tcW w:type="dxa" w:w="1737"/>
            <w:tcMar>
              <w:top w:type="dxa" w:w="70"/>
              <w:left w:type="dxa" w:w="100"/>
              <w:bottom w:type="dxa" w:w="70"/>
              <w:right w:type="dxa" w:w="100"/>
            </w:tcMar>
            <w:vAlign w:val="center"/>
          </w:tcPr>
          <w:p>
            <w:pPr>
              <w:spacing w:after="0" w:line="240"/>
              <w:jc w:val="left"/>
            </w:pPr>
            <w:r>
              <w:rPr>
                <w:rFonts w:ascii="Calibri" w:cs="Calibri" w:eastAsia="Calibri" w:hAnsi="Calibri"/>
                <w:b/>
                <w:bCs/>
                <w:sz w:val="17"/>
                <w:szCs w:val="17"/>
              </w:rPr>
              <w:t xml:space="preserve">[DATE]</w:t>
            </w:r>
          </w:p>
        </w:tc>
      </w:tr>
    </w:tbl>
    <w:p>
      <w:pPr>
        <w:keepNext/>
        <w:pageBreakBefore/>
        <w:spacing w:after="60" w:before="0"/>
      </w:pPr>
      <w:r>
        <w:rPr>
          <w:rFonts w:ascii="Calibri" w:cs="Calibri" w:eastAsia="Calibri" w:hAnsi="Calibri"/>
          <w:b/>
          <w:bCs/>
          <w:color w:val="14161B"/>
          <w:sz w:val="22"/>
          <w:szCs w:val="22"/>
        </w:rPr>
        <w:t xml:space="preserve">NOTES FOR USE</w:t>
      </w:r>
    </w:p>
    <w:p>
      <w:pPr>
        <w:pBdr>
          <w:bottom w:val="single" w:color="C9CCD3" w:sz="6" w:space="4"/>
        </w:pBdr>
        <w:spacing w:after="200"/>
      </w:pPr>
      <w:r>
        <w:rPr>
          <w:rFonts w:ascii="Calibri" w:cs="Calibri" w:eastAsia="Calibri" w:hAnsi="Calibri"/>
          <w:i/>
          <w:iCs/>
          <w:color w:val="6E7480"/>
          <w:sz w:val="17"/>
          <w:szCs w:val="17"/>
        </w:rPr>
        <w:t xml:space="preserve">Delete this page before execution. It is guidance, not part of the agreement.</w:t>
      </w:r>
    </w:p>
    <w:p>
      <w:pPr>
        <w:keepNext/>
        <w:spacing w:after="40" w:before="140"/>
      </w:pPr>
      <w:r>
        <w:rPr>
          <w:rFonts w:ascii="Calibri" w:cs="Calibri" w:eastAsia="Calibri" w:hAnsi="Calibri"/>
          <w:b/>
          <w:bCs/>
          <w:color w:val="14161B"/>
          <w:sz w:val="20"/>
          <w:szCs w:val="20"/>
        </w:rPr>
        <w:t xml:space="preserve">Confirm the entity can do it before promising anything</w:t>
      </w:r>
    </w:p>
    <w:p>
      <w:pPr>
        <w:spacing w:after="60" w:line="264"/>
        <w:jc w:val="both"/>
      </w:pPr>
      <w:r>
        <w:rPr>
          <w:rFonts w:ascii="Calibri" w:cs="Calibri" w:eastAsia="Calibri" w:hAnsi="Calibri"/>
          <w:sz w:val="19"/>
          <w:szCs w:val="19"/>
        </w:rPr>
        <w:t xml:space="preserve">A mainland LLC cannot practically run an option scheme — every exercise means a notarised transfer, authority approval and a licence amendment, with the employee attending a notary. Nothing prohibits it; it simply does not work at scale. Establish the issuing entity before the first conversation with an employee.</w:t>
      </w:r>
    </w:p>
    <w:p>
      <w:pPr>
        <w:keepNext/>
        <w:spacing w:after="40" w:before="140"/>
      </w:pPr>
      <w:r>
        <w:rPr>
          <w:rFonts w:ascii="Calibri" w:cs="Calibri" w:eastAsia="Calibri" w:hAnsi="Calibri"/>
          <w:b/>
          <w:bCs/>
          <w:color w:val="14161B"/>
          <w:sz w:val="20"/>
          <w:szCs w:val="20"/>
        </w:rPr>
        <w:t xml:space="preserve">Phantom plans are the practical mainland answer</w:t>
      </w:r>
    </w:p>
    <w:p>
      <w:pPr>
        <w:spacing w:after="60" w:line="264"/>
        <w:jc w:val="both"/>
      </w:pPr>
      <w:r>
        <w:rPr>
          <w:rFonts w:ascii="Calibri" w:cs="Calibri" w:eastAsia="Calibri" w:hAnsi="Calibri"/>
          <w:sz w:val="19"/>
          <w:szCs w:val="19"/>
        </w:rPr>
        <w:t xml:space="preserve">A cash-settled plan gives the economic benefit without any share transfer, avoids the notarisation problem entirely, and can be operated by any entity. For a mainland company that wants to share upside with its team, this is usually the right instrument.</w:t>
      </w:r>
    </w:p>
    <w:p>
      <w:pPr>
        <w:keepNext/>
        <w:spacing w:after="40" w:before="140"/>
      </w:pPr>
      <w:r>
        <w:rPr>
          <w:rFonts w:ascii="Calibri" w:cs="Calibri" w:eastAsia="Calibri" w:hAnsi="Calibri"/>
          <w:b/>
          <w:bCs/>
          <w:color w:val="14161B"/>
          <w:sz w:val="20"/>
          <w:szCs w:val="20"/>
        </w:rPr>
        <w:t xml:space="preserve">Be honest about what a phantom unit is</w:t>
      </w:r>
    </w:p>
    <w:p>
      <w:pPr>
        <w:spacing w:after="60" w:line="264"/>
        <w:jc w:val="both"/>
      </w:pPr>
      <w:r>
        <w:rPr>
          <w:rFonts w:ascii="Calibri" w:cs="Calibri" w:eastAsia="Calibri" w:hAnsi="Calibri"/>
          <w:sz w:val="19"/>
          <w:szCs w:val="19"/>
        </w:rPr>
        <w:t xml:space="preserve">It is a contractual promise to pay cash, not ownership — no voting, no dividends, no shareholder rights, and payment depends on the company having the cash. Employees told they have "equity" who later discover otherwise feel misled, and that resentment outlasts the payment.</w:t>
      </w:r>
    </w:p>
    <w:p>
      <w:pPr>
        <w:keepNext/>
        <w:spacing w:after="40" w:before="140"/>
      </w:pPr>
      <w:r>
        <w:rPr>
          <w:rFonts w:ascii="Calibri" w:cs="Calibri" w:eastAsia="Calibri" w:hAnsi="Calibri"/>
          <w:b/>
          <w:bCs/>
          <w:color w:val="14161B"/>
          <w:sz w:val="20"/>
          <w:szCs w:val="20"/>
        </w:rPr>
        <w:t xml:space="preserve">Options at a holding company are the usual funded answer</w:t>
      </w:r>
    </w:p>
    <w:p>
      <w:pPr>
        <w:spacing w:after="60" w:line="264"/>
        <w:jc w:val="both"/>
      </w:pPr>
      <w:r>
        <w:rPr>
          <w:rFonts w:ascii="Calibri" w:cs="Calibri" w:eastAsia="Calibri" w:hAnsi="Calibri"/>
          <w:sz w:val="19"/>
          <w:szCs w:val="19"/>
        </w:rPr>
        <w:t xml:space="preserve">Companies raising external investment typically place a DIFC, ADGM or offshore holdco above the UAE operating entity and grant options there. It solves the mechanics for options, vesting and transfers in one step — but the holdco has to exist first.</w:t>
      </w:r>
    </w:p>
    <w:p>
      <w:pPr>
        <w:keepNext/>
        <w:spacing w:after="40" w:before="140"/>
      </w:pPr>
      <w:r>
        <w:rPr>
          <w:rFonts w:ascii="Calibri" w:cs="Calibri" w:eastAsia="Calibri" w:hAnsi="Calibri"/>
          <w:b/>
          <w:bCs/>
          <w:color w:val="14161B"/>
          <w:sz w:val="20"/>
          <w:szCs w:val="20"/>
        </w:rPr>
        <w:t xml:space="preserve">No UAE income tax does not mean no tax</w:t>
      </w:r>
    </w:p>
    <w:p>
      <w:pPr>
        <w:spacing w:after="60" w:line="264"/>
        <w:jc w:val="both"/>
      </w:pPr>
      <w:r>
        <w:rPr>
          <w:rFonts w:ascii="Calibri" w:cs="Calibri" w:eastAsia="Calibri" w:hAnsi="Calibri"/>
          <w:sz w:val="19"/>
          <w:szCs w:val="19"/>
        </w:rPr>
        <w:t xml:space="preserve">There is no UAE personal income tax charge on grant, vesting or exercise. But a participant tax resident elsewhere, or who moves, may be taxed in that country on a UAE-granted award. Say so in the grant letter — silence implies there is no issue anywhere, which is not true for internationally mobile staff.</w:t>
      </w:r>
    </w:p>
    <w:p>
      <w:pPr>
        <w:keepNext/>
        <w:spacing w:after="40" w:before="140"/>
      </w:pPr>
      <w:r>
        <w:rPr>
          <w:rFonts w:ascii="Calibri" w:cs="Calibri" w:eastAsia="Calibri" w:hAnsi="Calibri"/>
          <w:b/>
          <w:bCs/>
          <w:color w:val="14161B"/>
          <w:sz w:val="20"/>
          <w:szCs w:val="20"/>
        </w:rPr>
        <w:t xml:space="preserve">Explain the exercise window before cancelling the visa</w:t>
      </w:r>
    </w:p>
    <w:p>
      <w:pPr>
        <w:spacing w:after="60" w:line="264"/>
        <w:jc w:val="both"/>
      </w:pPr>
      <w:r>
        <w:rPr>
          <w:rFonts w:ascii="Calibri" w:cs="Calibri" w:eastAsia="Calibri" w:hAnsi="Calibri"/>
          <w:sz w:val="19"/>
          <w:szCs w:val="19"/>
        </w:rPr>
        <w:t xml:space="preserve">A departing employee whose residence visa is cancelled may leave the UAE within a short grace period, and a ninety-day exercise window is of little use to someone who has gone and cannot fund the exercise price. Explain the position at notice, not at cancellation.</w:t>
      </w:r>
    </w:p>
    <w:p>
      <w:pPr>
        <w:keepNext/>
        <w:spacing w:after="40" w:before="140"/>
      </w:pPr>
      <w:r>
        <w:rPr>
          <w:rFonts w:ascii="Calibri" w:cs="Calibri" w:eastAsia="Calibri" w:hAnsi="Calibri"/>
          <w:b/>
          <w:bCs/>
          <w:color w:val="14161B"/>
          <w:sz w:val="20"/>
          <w:szCs w:val="20"/>
        </w:rPr>
        <w:t xml:space="preserve">Ninety days is often unworkable</w:t>
      </w:r>
    </w:p>
    <w:p>
      <w:pPr>
        <w:spacing w:after="60" w:line="264"/>
        <w:jc w:val="both"/>
      </w:pPr>
      <w:r>
        <w:rPr>
          <w:rFonts w:ascii="Calibri" w:cs="Calibri" w:eastAsia="Calibri" w:hAnsi="Calibri"/>
          <w:sz w:val="19"/>
          <w:szCs w:val="19"/>
        </w:rPr>
        <w:t xml:space="preserve">A leaver must find the exercise price in cash with no market for the shares. Where the scheme is intended to reward rather than to lapse, consider a longer window or a cashless exercise mechanism. Otherwise most departing employees simply lose the value.</w:t>
      </w:r>
    </w:p>
    <w:p>
      <w:pPr>
        <w:keepNext/>
        <w:spacing w:after="40" w:before="140"/>
      </w:pPr>
      <w:r>
        <w:rPr>
          <w:rFonts w:ascii="Calibri" w:cs="Calibri" w:eastAsia="Calibri" w:hAnsi="Calibri"/>
          <w:b/>
          <w:bCs/>
          <w:color w:val="14161B"/>
          <w:sz w:val="20"/>
          <w:szCs w:val="20"/>
        </w:rPr>
        <w:t xml:space="preserve">Keep the register from the first grant</w:t>
      </w:r>
    </w:p>
    <w:p>
      <w:pPr>
        <w:spacing w:after="60" w:line="264"/>
        <w:jc w:val="both"/>
      </w:pPr>
      <w:r>
        <w:rPr>
          <w:rFonts w:ascii="Calibri" w:cs="Calibri" w:eastAsia="Calibri" w:hAnsi="Calibri"/>
          <w:sz w:val="19"/>
          <w:szCs w:val="19"/>
        </w:rPr>
        <w:t xml:space="preserve">Who holds what, granted when, at what price, vested to date, exercised, lapsed. Schemes run from grant letters in a folder cannot answer a diligence question and cannot compute a leaver position reliably. Reconcile it to the cap table quarterly.</w:t>
      </w:r>
    </w:p>
    <w:p>
      <w:pPr>
        <w:keepNext/>
        <w:spacing w:after="40" w:before="140"/>
      </w:pPr>
      <w:r>
        <w:rPr>
          <w:rFonts w:ascii="Calibri" w:cs="Calibri" w:eastAsia="Calibri" w:hAnsi="Calibri"/>
          <w:b/>
          <w:bCs/>
          <w:color w:val="14161B"/>
          <w:sz w:val="20"/>
          <w:szCs w:val="20"/>
        </w:rPr>
        <w:t xml:space="preserve">Track undocumented promises</w:t>
      </w:r>
    </w:p>
    <w:p>
      <w:pPr>
        <w:spacing w:after="60" w:line="264"/>
        <w:jc w:val="both"/>
      </w:pPr>
      <w:r>
        <w:rPr>
          <w:rFonts w:ascii="Calibri" w:cs="Calibri" w:eastAsia="Calibri" w:hAnsi="Calibri"/>
          <w:sz w:val="19"/>
          <w:szCs w:val="19"/>
        </w:rPr>
        <w:t xml:space="preserve">Equity promised in a hiring conversation or an offer letter and never granted is a real commitment that surfaces in diligence and must be honoured. Identify them now and either document or resolve them.</w:t>
      </w:r>
    </w:p>
    <w:p>
      <w:pPr>
        <w:keepNext/>
        <w:spacing w:after="40" w:before="140"/>
      </w:pPr>
      <w:r>
        <w:rPr>
          <w:rFonts w:ascii="Calibri" w:cs="Calibri" w:eastAsia="Calibri" w:hAnsi="Calibri"/>
          <w:b/>
          <w:bCs/>
          <w:color w:val="14161B"/>
          <w:sz w:val="20"/>
          <w:szCs w:val="20"/>
        </w:rPr>
        <w:t xml:space="preserve">Vesting should continue during statutory leave</w:t>
      </w:r>
    </w:p>
    <w:p>
      <w:pPr>
        <w:spacing w:after="60" w:line="264"/>
        <w:jc w:val="both"/>
      </w:pPr>
      <w:r>
        <w:rPr>
          <w:rFonts w:ascii="Calibri" w:cs="Calibri" w:eastAsia="Calibri" w:hAnsi="Calibri"/>
          <w:sz w:val="19"/>
          <w:szCs w:val="19"/>
        </w:rPr>
        <w:t xml:space="preserve">Suspending vesting during annual, sick, maternity or parental leave disadvantages employees exercising statutory rights. Keep it running — the saving is trivial and the signal is poor.</w:t>
      </w:r>
    </w:p>
    <w:p>
      <w:pPr>
        <w:keepNext/>
        <w:spacing w:after="40" w:before="140"/>
      </w:pPr>
      <w:r>
        <w:rPr>
          <w:rFonts w:ascii="Calibri" w:cs="Calibri" w:eastAsia="Calibri" w:hAnsi="Calibri"/>
          <w:b/>
          <w:bCs/>
          <w:color w:val="14161B"/>
          <w:sz w:val="20"/>
          <w:szCs w:val="20"/>
        </w:rPr>
        <w:t xml:space="preserve">Define termination for cause narrowly</w:t>
      </w:r>
    </w:p>
    <w:p>
      <w:pPr>
        <w:spacing w:after="60" w:line="264"/>
        <w:jc w:val="both"/>
      </w:pPr>
      <w:r>
        <w:rPr>
          <w:rFonts w:ascii="Calibri" w:cs="Calibri" w:eastAsia="Calibri" w:hAnsi="Calibri"/>
          <w:sz w:val="19"/>
          <w:szCs w:val="19"/>
        </w:rPr>
        <w:t xml:space="preserve">Forfeiture of vested options on dismissal for cause is severe, and a broad definition invites abuse and disputes. Confine it to dishonesty, fraud and serious misconduct, and remember the mainland disciplinary framework limits what an employer may do in any event.</w:t>
      </w:r>
    </w:p>
    <w:p>
      <w:pPr>
        <w:keepNext/>
        <w:spacing w:after="40" w:before="140"/>
      </w:pPr>
      <w:r>
        <w:rPr>
          <w:rFonts w:ascii="Calibri" w:cs="Calibri" w:eastAsia="Calibri" w:hAnsi="Calibri"/>
          <w:b/>
          <w:bCs/>
          <w:color w:val="14161B"/>
          <w:sz w:val="20"/>
          <w:szCs w:val="20"/>
        </w:rPr>
        <w:t xml:space="preserve">Set the valuation basis in advance</w:t>
      </w:r>
    </w:p>
    <w:p>
      <w:pPr>
        <w:spacing w:after="60" w:line="264"/>
        <w:jc w:val="both"/>
      </w:pPr>
      <w:r>
        <w:rPr>
          <w:rFonts w:ascii="Calibri" w:cs="Calibri" w:eastAsia="Calibri" w:hAnsi="Calibri"/>
          <w:sz w:val="19"/>
          <w:szCs w:val="19"/>
        </w:rPr>
        <w:t xml:space="preserve">For a phantom plan the payment depends entirely on the valuation, and a basis agreed after the trigger event is a negotiation the employee will lose. State the methodology, who determines it, and what happens if the parties disagree.</w:t>
      </w:r>
    </w:p>
    <w:p>
      <w:pPr>
        <w:keepNext/>
        <w:spacing w:after="40" w:before="140"/>
      </w:pPr>
      <w:r>
        <w:rPr>
          <w:rFonts w:ascii="Calibri" w:cs="Calibri" w:eastAsia="Calibri" w:hAnsi="Calibri"/>
          <w:b/>
          <w:bCs/>
          <w:color w:val="14161B"/>
          <w:sz w:val="20"/>
          <w:szCs w:val="20"/>
        </w:rPr>
        <w:t xml:space="preserve">Fund the phantom liability</w:t>
      </w:r>
    </w:p>
    <w:p>
      <w:pPr>
        <w:spacing w:after="60" w:line="264"/>
        <w:jc w:val="both"/>
      </w:pPr>
      <w:r>
        <w:rPr>
          <w:rFonts w:ascii="Calibri" w:cs="Calibri" w:eastAsia="Calibri" w:hAnsi="Calibri"/>
          <w:sz w:val="19"/>
          <w:szCs w:val="19"/>
        </w:rPr>
        <w:t xml:space="preserve">A cash-settled plan creates a real payment obligation at exactly the moment cash is under pressure. Model it into the exit or liquidity planning rather than discovering the size of it at completion.</w:t>
      </w:r>
    </w:p>
    <w:p>
      <w:pPr>
        <w:keepNext/>
        <w:spacing w:after="40" w:before="140"/>
      </w:pPr>
      <w:r>
        <w:rPr>
          <w:rFonts w:ascii="Calibri" w:cs="Calibri" w:eastAsia="Calibri" w:hAnsi="Calibri"/>
          <w:b/>
          <w:bCs/>
          <w:color w:val="14161B"/>
          <w:sz w:val="20"/>
          <w:szCs w:val="20"/>
        </w:rPr>
        <w:t xml:space="preserve">Apply leaver treatment consistently</w:t>
      </w:r>
    </w:p>
    <w:p>
      <w:pPr>
        <w:spacing w:after="60" w:line="264"/>
        <w:jc w:val="both"/>
      </w:pPr>
      <w:r>
        <w:rPr>
          <w:rFonts w:ascii="Calibri" w:cs="Calibri" w:eastAsia="Calibri" w:hAnsi="Calibri"/>
          <w:sz w:val="19"/>
          <w:szCs w:val="19"/>
        </w:rPr>
        <w:t xml:space="preserve">Exercising discretion generously for one departing employee and not another, in similar circumstances, is noticed. Where discretion is used, record the reason — it forces the comparison to be made deliberately.</w:t>
      </w:r>
    </w:p>
    <w:p>
      <w:pPr>
        <w:keepNext/>
        <w:spacing w:after="40" w:before="140"/>
      </w:pPr>
      <w:r>
        <w:rPr>
          <w:rFonts w:ascii="Calibri" w:cs="Calibri" w:eastAsia="Calibri" w:hAnsi="Calibri"/>
          <w:b/>
          <w:bCs/>
          <w:color w:val="14161B"/>
          <w:sz w:val="20"/>
          <w:szCs w:val="20"/>
        </w:rPr>
        <w:t xml:space="preserve">Current as of</w:t>
      </w:r>
    </w:p>
    <w:p>
      <w:pPr>
        <w:spacing w:after="60" w:line="264"/>
        <w:jc w:val="both"/>
      </w:pPr>
      <w:r>
        <w:rPr>
          <w:rFonts w:ascii="Calibri" w:cs="Calibri" w:eastAsia="Calibri" w:hAnsi="Calibri"/>
          <w:sz w:val="19"/>
          <w:szCs w:val="19"/>
        </w:rPr>
        <w:t xml:space="preserve">Reflects UAE law and practice current as of </w:t>
      </w:r>
      <w:r>
        <w:rPr>
          <w:rFonts w:ascii="Calibri" w:cs="Calibri" w:eastAsia="Calibri" w:hAnsi="Calibri"/>
          <w:b/>
          <w:bCs/>
          <w:sz w:val="19"/>
          <w:szCs w:val="19"/>
        </w:rPr>
        <w:t xml:space="preserve">[DATE OF USE]</w:t>
      </w:r>
      <w:r>
        <w:rPr>
          <w:rFonts w:ascii="Calibri" w:cs="Calibri" w:eastAsia="Calibri" w:hAnsi="Calibri"/>
          <w:sz w:val="19"/>
          <w:szCs w:val="19"/>
        </w:rPr>
        <w:t xml:space="preserve">. Company law, notarisation requirements, corporate tax treatment of equity charges and free zone rules all change, and participants’ home-country tax positions vary — take UAE legal and tax advice before adopting a scheme, and tell participants to take their own advice.</w:t>
      </w:r>
    </w:p>
    <w:sectPr>
      <w:headerReference w:type="default" r:id="rId7"/>
      <w:headerReference w:type="first" r:id="rId8"/>
      <w:footerReference w:type="default" r:id="rId9"/>
      <w:footerReference w:type="first" r:id="rId10"/>
      <w:pgSz w:w="11906" w:h="16838" w:orient="portrait"/>
      <w:pgMar w:top="1080" w:right="1134" w:bottom="1080" w:left="1134" w:header="708" w:footer="708" w:gutter="0"/>
      <w:pgNumType/>
      <w:titlePg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pBdr>
        <w:top w:val="single" w:color="C9CCD3" w:sz="6" w:space="6"/>
      </w:pBdr>
      <w:tabs>
        <w:tab w:val="right" w:pos="9638"/>
      </w:tabs>
      <w:spacing w:before="60"/>
    </w:pPr>
    <w:r>
      <w:rPr>
        <w:rFonts w:ascii="Calibri" w:cs="Calibri" w:eastAsia="Calibri" w:hAnsi="Calibri"/>
        <w:color w:val="6E7480"/>
        <w:sz w:val="17"/>
        <w:szCs w:val="17"/>
      </w:rPr>
      <w:t xml:space="preserve">Generated from www.helionerp.com	</w:t>
    </w:r>
    <w:r>
      <w:rPr>
        <w:rFonts w:ascii="Calibri" w:cs="Calibri" w:eastAsia="Calibri" w:hAnsi="Calibri"/>
        <w:color w:val="6E7480"/>
        <w:sz w:val="17"/>
        <w:szCs w:val="17"/>
      </w:rPr>
      <w:t xml:space="preserve">Page </w:t>
      <w:fldChar w:fldCharType="begin"/>
      <w:instrText xml:space="preserve">PAGE</w:instrText>
      <w:fldChar w:fldCharType="separate"/>
      <w:fldChar w:fldCharType="end"/>
      <w:t xml:space="preserve"> of </w:t>
      <w:fldChar w:fldCharType="begin"/>
      <w:instrText xml:space="preserve">NUMPAGES</w:instrText>
      <w:fldChar w:fldCharType="separate"/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pBdr>
        <w:top w:val="single" w:color="C9CCD3" w:sz="6" w:space="6"/>
      </w:pBdr>
      <w:tabs>
        <w:tab w:val="right" w:pos="9638"/>
      </w:tabs>
      <w:spacing w:before="60"/>
    </w:pPr>
    <w:r>
      <w:rPr>
        <w:rFonts w:ascii="Calibri" w:cs="Calibri" w:eastAsia="Calibri" w:hAnsi="Calibri"/>
        <w:color w:val="6E7480"/>
        <w:sz w:val="17"/>
        <w:szCs w:val="17"/>
      </w:rPr>
      <w:t xml:space="preserve">Generated from www.helionerp.com	</w:t>
    </w:r>
    <w:r>
      <w:rPr>
        <w:rFonts w:ascii="Calibri" w:cs="Calibri" w:eastAsia="Calibri" w:hAnsi="Calibri"/>
        <w:color w:val="6E7480"/>
        <w:sz w:val="17"/>
        <w:szCs w:val="17"/>
      </w:rPr>
      <w:t xml:space="preserve">Page </w:t>
      <w:fldChar w:fldCharType="begin"/>
      <w:instrText xml:space="preserve">PAGE</w:instrText>
      <w:fldChar w:fldCharType="separate"/>
      <w:fldChar w:fldCharType="end"/>
      <w:t xml:space="preserve"> of </w:t>
      <w:fldChar w:fldCharType="begin"/>
      <w:instrText xml:space="preserve">NUMPAGES</w:instrText>
      <w:fldChar w:fldCharType="separate"/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w16cid="http://schemas.microsoft.com/office/word/2016/wordml/cid" xmlns:w16se="http://schemas.microsoft.com/office/word/2015/wordml/symex"/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w16cid="http://schemas.microsoft.com/office/word/2016/wordml/cid" xmlns:w16se="http://schemas.microsoft.com/office/word/2015/wordml/symex">
  <w:p>
    <w:pPr>
      <w:pBdr>
        <w:bottom w:val="single" w:color="C9CCD3" w:sz="6" w:space="6"/>
      </w:pBdr>
      <w:spacing w:after="200"/>
      <w:jc w:val="center"/>
    </w:pPr>
    <w:r>
      <w:rPr>
        <w:rFonts w:ascii="Calibri" w:cs="Calibri" w:eastAsia="Calibri" w:hAnsi="Calibri"/>
        <w:i/>
        <w:iCs/>
        <w:color w:val="6E7480"/>
        <w:sz w:val="17"/>
        <w:szCs w:val="17"/>
      </w:rPr>
      <w:t xml:space="preserve">[HEADER — replace with your organisation's letterhead, if used]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bullet"/>
      <w:lvlText w:val="•"/>
      <w:lvlJc w:val="left"/>
      <w:pPr>
        <w:ind w:left="720" w:hanging="360"/>
      </w:pPr>
    </w:lvl>
    <w:lvl w:ilvl="1" w15:tentative="1">
      <w:start w:val="1"/>
      <w:numFmt w:val="bullet"/>
      <w:lvlText w:val="◦"/>
      <w:lvlJc w:val="left"/>
      <w:pPr>
        <w:ind w:left="144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cs="Calibri" w:eastAsia="Calibri" w:hAnsi="Calibri"/>
        <w:color w:val="14161B"/>
        <w:sz w:val="21"/>
        <w:szCs w:val="21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header" Target="header1.xml"/><Relationship Id="rId8" Type="http://schemas.openxmlformats.org/officeDocument/2006/relationships/header" Target="header2.xml"/><Relationship Id="rId9" Type="http://schemas.openxmlformats.org/officeDocument/2006/relationships/footer" Target="footer1.xml"/><Relationship Id="rId10" Type="http://schemas.openxmlformats.org/officeDocument/2006/relationships/footer" Target="footer2.xml"/><Relationship Id="rId11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er2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word/_rels/header1.xml.rels><?xml version="1.0" encoding="UTF-8"?><Relationships xmlns="http://schemas.openxmlformats.org/package/2006/relationships"/>
</file>

<file path=word/_rels/header2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Helion ERP</dc:creator>
  <dc:description>Template generated from www.helionerp.com</dc:description>
  <cp:lastModifiedBy>Un-named</cp:lastModifiedBy>
  <cp:revision>1</cp:revision>
  <dcterms:created xsi:type="dcterms:W3CDTF">2026-08-23T16:28:34.679Z</dcterms:created>
  <dcterms:modified xsi:type="dcterms:W3CDTF">2026-08-23T16:28:34.679Z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