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40"/>
        <w:jc w:val="center"/>
      </w:pPr>
      <w:r>
        <w:rPr>
          <w:rFonts w:ascii="Calibri" w:cs="Calibri" w:eastAsia="Calibri" w:hAnsi="Calibri"/>
          <w:b/>
          <w:bCs/>
          <w:color w:val="14161B"/>
          <w:spacing w:val="12"/>
          <w:sz w:val="28"/>
          <w:szCs w:val="28"/>
        </w:rPr>
        <w:t xml:space="preserve">EMIRATISATION COMPLIANCE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6E7480"/>
          <w:sz w:val="19"/>
          <w:szCs w:val="19"/>
        </w:rPr>
        <w:t xml:space="preserve">Nafis targets, tracking and penalties</w:t>
      </w:r>
    </w:p>
    <w:p>
      <w:pPr>
        <w:spacing w:after="180" w:before="0" w:line="276"/>
        <w:jc w:val="both"/>
      </w:pP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This is the compliance obligation with the sharpest teeth in UAE employment law. Penalties accrue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monthly per unfilled position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 and rise each year, and Federal Decree-Law 9 of 2024 added penalties of AED 100,000 to AED 1,000,000 per fictitious hire for collusion — with inspectors able to examine bank records to verify that salaries actually landed.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5"/>
        <w:gridCol w:w="5783"/>
      </w:tblGrid>
      <w:tr>
        <w:trPr>
          <w:cantSplit/>
          <w:tblHeader/>
        </w:trPr>
        <w:tc>
          <w:tcPr>
            <w:tcW w:type="dxa" w:w="385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Item</w:t>
            </w:r>
          </w:p>
        </w:tc>
        <w:tc>
          <w:tcPr>
            <w:tcW w:type="dxa" w:w="578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Detail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Establishment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[COMPANY 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MOHRE establishment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Jurisdiction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Mainland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</w:t>
            </w:r>
            <w:r>
              <w:rPr>
                <w:rFonts w:ascii="Calibri" w:cs="Calibri" w:eastAsia="Calibri" w:hAnsi="Calibri"/>
                <w:i/>
                <w:iCs/>
                <w:sz w:val="19"/>
                <w:szCs w:val="19"/>
              </w:rPr>
              <w:t xml:space="preserve">Emiratisation generally does not apply to free zone, DIFC or ADGM entities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Sector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[SECTOR]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</w:t>
            </w:r>
            <w:r>
              <w:rPr>
                <w:rFonts w:ascii="Calibri" w:cs="Calibri" w:eastAsia="Calibri" w:hAnsi="Calibri"/>
                <w:i/>
                <w:iCs/>
                <w:sz w:val="19"/>
                <w:szCs w:val="19"/>
              </w:rPr>
              <w:t xml:space="preserve">some sectors carry additional targets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Total employees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Skilled employees (ISCO levels 1–5)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the quota base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Emiratis currently employed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Current Emiratisation rate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[PERCENTAGE]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Target at the next assessment date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[PERCENTAGE]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Shortfall in positions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Estimated monthly exposure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AED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[AMOUNT]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Nafis registration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[Registered on ______ ]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Responsible officer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[DESIGNATION]</w:t>
            </w:r>
          </w:p>
        </w:tc>
      </w:tr>
    </w:tbl>
    <w:p>
      <w:pPr>
        <w:spacing w:after="180"/>
      </w:pP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1. WHO THE TARGETS APPLY TO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2505"/>
        <w:gridCol w:w="3084"/>
        <w:gridCol w:w="4049"/>
      </w:tblGrid>
      <w:tr>
        <w:trPr>
          <w:cantSplit/>
          <w:tblHeader/>
        </w:trPr>
        <w:tc>
          <w:tcPr>
            <w:tcW w:type="dxa" w:w="250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Establishment size</w:t>
            </w:r>
          </w:p>
        </w:tc>
        <w:tc>
          <w:tcPr>
            <w:tcW w:type="dxa" w:w="3084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Obligation</w:t>
            </w:r>
          </w:p>
        </w:tc>
        <w:tc>
          <w:tcPr>
            <w:tcW w:type="dxa" w:w="404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Note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50 or more employees</w:t>
            </w:r>
          </w:p>
        </w:tc>
        <w:tc>
          <w:tcPr>
            <w:tcW w:type="dxa" w:w="308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Percentage target of skilled roles, increasing annually</w:t>
            </w:r>
          </w:p>
        </w:tc>
        <w:tc>
          <w:tcPr>
            <w:tcW w:type="dxa" w:w="40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Assessed at set dates; </w:t>
            </w: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8% by end-2025 rising to 10% by end-2026</w:t>
            </w:r>
            <w:r>
              <w:rPr>
                <w:rFonts w:ascii="Calibri" w:cs="Calibri" w:eastAsia="Calibri" w:hAnsi="Calibri"/>
                <w:sz w:val="17"/>
                <w:szCs w:val="17"/>
              </w:rPr>
              <w:t xml:space="preserve"> on the published trajectory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20 to 49 employees</w:t>
            </w:r>
          </w:p>
        </w:tc>
        <w:tc>
          <w:tcPr>
            <w:tcW w:type="dxa" w:w="308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 fixed number of Emirati hires rather than a percentage</w:t>
            </w:r>
          </w:p>
        </w:tc>
        <w:tc>
          <w:tcPr>
            <w:tcW w:type="dxa" w:w="40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One by end-2024 and a further one by end-2025 on the published trajectory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Fewer than 20 employees</w:t>
            </w:r>
          </w:p>
        </w:tc>
        <w:tc>
          <w:tcPr>
            <w:tcW w:type="dxa" w:w="308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Generally outside the quota</w:t>
            </w:r>
          </w:p>
        </w:tc>
        <w:tc>
          <w:tcPr>
            <w:tcW w:type="dxa" w:w="40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Confirm — sector rules may still apply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Banking, insurance and financial services</w:t>
            </w:r>
          </w:p>
        </w:tc>
        <w:tc>
          <w:tcPr>
            <w:tcW w:type="dxa" w:w="308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Additional sector-specific targets</w:t>
            </w:r>
          </w:p>
        </w:tc>
        <w:tc>
          <w:tcPr>
            <w:tcW w:type="dxa" w:w="40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Higher than the general trajectory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Free zone entities</w:t>
            </w:r>
          </w:p>
        </w:tc>
        <w:tc>
          <w:tcPr>
            <w:tcW w:type="dxa" w:w="308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Generally outside the regime</w:t>
            </w:r>
          </w:p>
        </w:tc>
        <w:tc>
          <w:tcPr>
            <w:tcW w:type="dxa" w:w="40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Confirm with the zone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DIFC and ADGM</w:t>
            </w:r>
          </w:p>
        </w:tc>
        <w:tc>
          <w:tcPr>
            <w:tcW w:type="dxa" w:w="308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Outside the regime</w:t>
            </w:r>
          </w:p>
        </w:tc>
        <w:tc>
          <w:tcPr>
            <w:tcW w:type="dxa" w:w="40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1.1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The quota base is skilled roles</w:t>
      </w:r>
      <w:r>
        <w:rPr>
          <w:rFonts w:ascii="Calibri" w:cs="Calibri" w:eastAsia="Calibri" w:hAnsi="Calibri"/>
          <w:sz w:val="21"/>
          <w:szCs w:val="21"/>
        </w:rPr>
        <w:t xml:space="preserve">, classified by MOHRE skill levels 1 to 5 — legislators, managers, professionals and technicians. Unskilled and semi-skilled roles do not count towards the base.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1.2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Verify the current target percentage and the assessment date before relying on any figure. The trajectory has moved and the published targets step up annually.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2. TRACKING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3276"/>
        <w:gridCol w:w="1445"/>
        <w:gridCol w:w="1927"/>
        <w:gridCol w:w="2605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32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Measure</w:t>
            </w:r>
          </w:p>
        </w:tc>
        <w:tc>
          <w:tcPr>
            <w:tcW w:type="dxa" w:w="144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Current</w:t>
            </w:r>
          </w:p>
        </w:tc>
        <w:tc>
          <w:tcPr>
            <w:tcW w:type="dxa" w:w="192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At next assessment</w:t>
            </w:r>
          </w:p>
        </w:tc>
        <w:tc>
          <w:tcPr>
            <w:tcW w:type="dxa" w:w="260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Action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Total headcount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[DETAIL]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Skilled headcount (levels 1–5)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The quota base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Emiratis employed in skilled roles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4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Rate achieved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[%]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[%]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Target required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[%]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[%]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6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Positions short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Drives the penalty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7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Emiratis in the pipeline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[Offers out, start dates]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8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Emirati leavers in the last 12 months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Retention is the harder half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9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Growth planned that raises the base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Each skilled hire raises the target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10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Estimated annual exposure if unresolved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AED </w:t>
            </w: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[AMOUNT]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26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Growth works against you. Every additional skilled non-Emirati hire raises the base and therefore the number of Emiratis required. A company hiring quickly can fall out of compliance while its Emirati headcount is unchanged.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3. PENALTIES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2891"/>
        <w:gridCol w:w="6747"/>
      </w:tblGrid>
      <w:tr>
        <w:trPr>
          <w:cantSplit/>
          <w:tblHeader/>
        </w:trPr>
        <w:tc>
          <w:tcPr>
            <w:tcW w:type="dxa" w:w="289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Breach</w:t>
            </w:r>
          </w:p>
        </w:tc>
        <w:tc>
          <w:tcPr>
            <w:tcW w:type="dxa" w:w="674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Consequence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Failure to meet the target</w:t>
            </w:r>
          </w:p>
        </w:tc>
        <w:tc>
          <w:tcPr>
            <w:tcW w:type="dxa" w:w="674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Monthly contribution per unfilled position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, rising each year — around </w:t>
            </w: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AED 9,000 per month per position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in 2026 on reported figures, accruing from the assessment date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Continued failure</w:t>
            </w:r>
          </w:p>
        </w:tc>
        <w:tc>
          <w:tcPr>
            <w:tcW w:type="dxa" w:w="674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Escalating penalty and potential work permit restrictions on the establishment file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Fictitious Emiratisation — collusion</w:t>
            </w:r>
          </w:p>
        </w:tc>
        <w:tc>
          <w:tcPr>
            <w:tcW w:type="dxa" w:w="674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AED 100,000 to AED 1,000,000 per fictitious hire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under Federal Decree-Law 9 of 2024, with criminal exposure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Emirati employed below the applicable minimum salary</w:t>
            </w:r>
          </w:p>
        </w:tc>
        <w:tc>
          <w:tcPr>
            <w:tcW w:type="dxa" w:w="674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May be disqualified from counting towards the quota; new work permits may be suspended at the establishment file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Failure to register with Nafis or to pay contributions</w:t>
            </w:r>
          </w:p>
        </w:tc>
        <w:tc>
          <w:tcPr>
            <w:tcW w:type="dxa" w:w="674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Administrative penalties and service suspension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Penalties are assessed per position and per month. A company three positions short for a full year is looking at a six-figure exposure, and it accrues without any complaint being made — the system assesses it.</w:t>
      </w:r>
    </w:p>
    <w:p>
      <w:pPr>
        <w:spacing w:after="0" w:before="0" w:line="1"/>
      </w:pPr>
      <w:r>
        <w:br w:type="page"/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4. WHAT DOES NOT WORK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4.1	</w:t>
      </w:r>
      <w:r>
        <w:rPr>
          <w:rFonts w:ascii="Calibri" w:cs="Calibri" w:eastAsia="Calibri" w:hAnsi="Calibri"/>
          <w:sz w:val="21"/>
          <w:szCs w:val="21"/>
        </w:rPr>
        <w:t xml:space="preserve">MOHRE operates automated monitoring and has pursued criminal penalties for arrangements designed to appear compliant without genuine employment. The following are treated as collusion: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(a)	</w:t>
      </w:r>
      <w:r>
        <w:rPr>
          <w:rFonts w:ascii="Calibri" w:cs="Calibri" w:eastAsia="Calibri" w:hAnsi="Calibri"/>
          <w:sz w:val="21"/>
          <w:szCs w:val="21"/>
        </w:rPr>
        <w:t xml:space="preserve">registering an Emirati who does not actually work at the establishment;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(b)	</w:t>
      </w:r>
      <w:r>
        <w:rPr>
          <w:rFonts w:ascii="Calibri" w:cs="Calibri" w:eastAsia="Calibri" w:hAnsi="Calibri"/>
          <w:sz w:val="21"/>
          <w:szCs w:val="21"/>
        </w:rPr>
        <w:t xml:space="preserve">paying a nominal salary through WPS to create a record without genuine employment;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(c)	</w:t>
      </w:r>
      <w:r>
        <w:rPr>
          <w:rFonts w:ascii="Calibri" w:cs="Calibri" w:eastAsia="Calibri" w:hAnsi="Calibri"/>
          <w:sz w:val="21"/>
          <w:szCs w:val="21"/>
        </w:rPr>
        <w:t xml:space="preserve">arrangements where the Emirati refunds part of the salary to the employer or an intermediary;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(d)	</w:t>
      </w:r>
      <w:r>
        <w:rPr>
          <w:rFonts w:ascii="Calibri" w:cs="Calibri" w:eastAsia="Calibri" w:hAnsi="Calibri"/>
          <w:sz w:val="21"/>
          <w:szCs w:val="21"/>
        </w:rPr>
        <w:t xml:space="preserve">registering the same individual across multiple establishments; and</w:t>
      </w:r>
    </w:p>
    <w:p>
      <w:pPr>
        <w:spacing w:after="100" w:before="40" w:line="276"/>
        <w:ind w:left="144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(e)	</w:t>
      </w:r>
      <w:r>
        <w:rPr>
          <w:rFonts w:ascii="Calibri" w:cs="Calibri" w:eastAsia="Calibri" w:hAnsi="Calibri"/>
          <w:sz w:val="21"/>
          <w:szCs w:val="21"/>
        </w:rPr>
        <w:t xml:space="preserve">employing an Emirati in a role that does not exist or that they do not perform.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Inspectors can examine bank records</w:t>
      </w:r>
      <w:r>
        <w:rPr>
          <w:rFonts w:ascii="Calibri" w:cs="Calibri" w:eastAsia="Calibri" w:hAnsi="Calibri"/>
          <w:sz w:val="21"/>
          <w:szCs w:val="21"/>
        </w:rPr>
        <w:t xml:space="preserve"> to verify that salaries were actually received and retained. Paper compliance is detectable.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4.3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The cost of a genuine hire is now materially lower than the cost of a detected arrangement. That is the intended effect of the penalty structure.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5. DOING IT PROPERLY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4626"/>
        <w:gridCol w:w="4627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462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Step</w:t>
            </w:r>
          </w:p>
        </w:tc>
        <w:tc>
          <w:tcPr>
            <w:tcW w:type="dxa" w:w="462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Note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Register with </w:t>
            </w: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Nafis</w:t>
            </w:r>
            <w:r>
              <w:rPr>
                <w:rFonts w:ascii="Calibri" w:cs="Calibri" w:eastAsia="Calibri" w:hAnsi="Calibri"/>
                <w:sz w:val="17"/>
                <w:szCs w:val="17"/>
              </w:rPr>
              <w:t xml:space="preserve"> and keep the establishment profile current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The platform for recruitment and support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Map which roles are skilled (levels 1–5) and therefore in the base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Determines the target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Model the target against the hiring plan for the next 24 months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Growth raises the requirement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4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Identify roles genuinely suited to Emirati candidates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Roles where the pipeline exists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Advertise through Nafis and the usual channels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6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Confirm the applicable </w:t>
            </w: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minimum salary</w:t>
            </w:r>
            <w:r>
              <w:rPr>
                <w:rFonts w:ascii="Calibri" w:cs="Calibri" w:eastAsia="Calibri" w:hAnsi="Calibri"/>
                <w:sz w:val="17"/>
                <w:szCs w:val="17"/>
              </w:rPr>
              <w:t xml:space="preserve"> for the role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Below it, the hire may not count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7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Register the employment and ensure WPS payment matches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The salary must actually be paid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8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Enrol in </w:t>
            </w: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GPSSA</w:t>
            </w:r>
            <w:r>
              <w:rPr>
                <w:rFonts w:ascii="Calibri" w:cs="Calibri" w:eastAsia="Calibri" w:hAnsi="Calibri"/>
                <w:sz w:val="17"/>
                <w:szCs w:val="17"/>
              </w:rPr>
              <w:t xml:space="preserve"> — pension applies to Emirati employees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Employer and employee contributions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9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Invest in onboarding, development and progression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Retention is where most programmes fail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10</w:t>
            </w:r>
          </w:p>
        </w:tc>
        <w:tc>
          <w:tcPr>
            <w:tcW w:type="dxa" w:w="462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Track monthly and report to management</w:t>
            </w:r>
          </w:p>
        </w:tc>
        <w:tc>
          <w:tcPr>
            <w:tcW w:type="dxa" w:w="46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Do not discover the position at the assessment date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Note the pension point. Emirati employees participate in GPSSA, with employer and employee contributions on a different basis from anything applying to expatriate staff, and rates were revised for those hired from October 2023. Budget for it in the cost of the hire.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6. COMPLIANCE CALENDAR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4433"/>
        <w:gridCol w:w="1927"/>
        <w:gridCol w:w="1349"/>
        <w:gridCol w:w="1544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443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Task</w:t>
            </w:r>
          </w:p>
        </w:tc>
        <w:tc>
          <w:tcPr>
            <w:tcW w:type="dxa" w:w="192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Frequency</w:t>
            </w:r>
          </w:p>
        </w:tc>
        <w:tc>
          <w:tcPr>
            <w:tcW w:type="dxa" w:w="134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Owner</w:t>
            </w:r>
          </w:p>
        </w:tc>
        <w:tc>
          <w:tcPr>
            <w:tcW w:type="dxa" w:w="1544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Done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Recalculate skilled headcount and rate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Monthly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[HR]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Compare against the next target and record the gap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Monthly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[HR]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Review the hiring plan for target impact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Quarterly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[HR]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4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Confirm Emirati salaries meet the applicable minimum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Monthly with payroll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[Payroll]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Confirm WPS payments made and received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Monthly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[Payroll]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6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GPSSA contributions paid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Monthly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[Payroll]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7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Nafis profile and vacancies updated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Ongoing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[HR]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8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Emirati retention reviewed — leavers and reasons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Quarterly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[HR]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9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Report position and exposure to management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Quarterly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[HR]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10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Verify current targets and penalty rates against MOHRE</w:t>
            </w:r>
          </w:p>
        </w:tc>
        <w:tc>
          <w:tcPr>
            <w:tcW w:type="dxa" w:w="192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Annually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[HR]</w:t>
            </w:r>
          </w:p>
        </w:tc>
        <w:tc>
          <w:tcPr>
            <w:tcW w:type="dxa" w:w="154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</w:tbl>
    <w:p>
      <w:pPr>
        <w:keepNext/>
        <w:pageBreakBefore/>
        <w:spacing w:after="60" w:before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NOTES FOR USE</w:t>
      </w:r>
    </w:p>
    <w:p>
      <w:pPr>
        <w:pBdr>
          <w:bottom w:val="single" w:color="C9CCD3" w:sz="6" w:space="4"/>
        </w:pBdr>
        <w:spacing w:after="200"/>
      </w:pPr>
      <w:r>
        <w:rPr>
          <w:rFonts w:ascii="Calibri" w:cs="Calibri" w:eastAsia="Calibri" w:hAnsi="Calibri"/>
          <w:i/>
          <w:iCs/>
          <w:color w:val="6E7480"/>
          <w:sz w:val="17"/>
          <w:szCs w:val="17"/>
        </w:rPr>
        <w:t xml:space="preserve">Delete this page before execution. It is guidance, not part of the agreement.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This is enforced automatically, not on complaint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MOHRE assesses compliance from its own data. Penalties accrue monthly per unfilled position without anyone filing anything. A company that has drifted out of compliance typically finds out when the charge appears, not before.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The base is skilled roles, not headcount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target applies to skilled positions at MOHRE levels 1 to 5 — legislators, managers, professionals and technicians. Companies computing against total headcount reach the wrong number in both directions. Map every role to a level and keep the mapping current.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Growth raises the target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Each additional skilled non-Emirati hire increases the base and therefore the number of Emiratis required. A fast-growing company can fall out of compliance without losing a single Emirati employee. Model the target against the hiring plan, not against today’s headcount.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Collusion carries criminal exposure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Federal Decree-Law 9 of 2024 introduced penalties of AED 100,000 to AED 1,000,000 per fictitious hire, and inspectors can pull bank records to verify salaries were actually received and retained. Arrangements that create a record without genuine employment are detectable and are being prosecuted.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Salary levels affect whether the hire counts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An Emirati employed below the applicable minimum salary may not count towards the quota, and non-compliance can lead to suspension of new work permits at the establishment file. Confirm the current minimum before making the offer, not after.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Retention is the harder half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Meeting a target once is a recruitment problem. Holding it is a retention problem, and Emirati turnover in the private sector is where most programmes fail. Onboarding, development and a visible progression path do more for the number than another recruitment campaign.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GPSSA changes the cost of the hire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Emirati employees participate in the pension system with employer and employee contributions, on a basis revised for those hired from October 2023. This is a real cost that does not apply to expatriate staff and should be in the hiring model from the start.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Sector targets sit on top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Banking, insurance and financial services carry additional sector-specific requirements beyond the general trajectory. Confirm what applies to your activity rather than assuming the general position is the whole obligation.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Free zone and financial free zone entities are generally outside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regime attaches to mainland establishments. Free zone, DIFC and ADGM entities are generally not subject to it — which is a genuine cost difference that belongs in the jurisdiction decision at incorporation.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Track monthly, not at the assessment date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single most useful control is a monthly recalculation of skilled headcount, rate and gap. Companies that check annually discover a shortfall they have no time to fix and a penalty that has already accrued.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Register the establishment properly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Nafis registration, an accurate establishment profile and current vacancies are the mechanics of the system. A company that has not registered cannot demonstrate effort and cannot access the support available.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Verify the current targets — they step up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percentage trajectory increases annually and the penalty per position rises each year. Any figure in this document is a snapshot. Confirm the current target, assessment date and penalty rate with MOHRE at the start of each year.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Document the effort, not just the outcome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Where a target is genuinely difficult to meet for a specialist role, a record of advertising through Nafis, candidates considered and offers made is materially better than nothing. It does not remove the penalty, but it distinguishes a company trying from one that is not.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Budget the exposure honestly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company three positions short for a year faces a six-figure charge. That number belongs in the financial plan alongside the cost of the hires that would avoid it — and the hires are usually cheaper.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Current as of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Reflects UAE requirements current as of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[DATE OF USE]</w:t>
      </w:r>
      <w:r>
        <w:rPr>
          <w:rFonts w:ascii="Calibri" w:cs="Calibri" w:eastAsia="Calibri" w:hAnsi="Calibri"/>
          <w:sz w:val="19"/>
          <w:szCs w:val="19"/>
        </w:rPr>
        <w:t xml:space="preserve">. Emiratisation targets, assessment dates, penalty rates, minimum salary thresholds and sector-specific requirements all change annually — confirm every figure with MOHRE or the Nafis platform before relying on it, and take advice on any arrangement that is not a straightforward direct hire.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134" w:bottom="108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CD3" w:sz="6" w:space="6"/>
      </w:pBdr>
      <w:spacing w:after="200"/>
      <w:jc w:val="center"/>
    </w:pPr>
    <w:r>
      <w:rPr>
        <w:rFonts w:ascii="Calibri" w:cs="Calibri" w:eastAsia="Calibri" w:hAnsi="Calibri"/>
        <w:i/>
        <w:iCs/>
        <w:color w:val="6E7480"/>
        <w:sz w:val="17"/>
        <w:szCs w:val="17"/>
      </w:rPr>
      <w:t xml:space="preserve">[HEADER — replace with your organisation's letterhead, if used]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Helion ERP</dc:creator>
  <dc:description>Template generated from www.helionerp.com</dc:description>
  <cp:lastModifiedBy>Un-named</cp:lastModifiedBy>
  <cp:revision>1</cp:revision>
  <dcterms:created xsi:type="dcterms:W3CDTF">2026-08-23T16:28:32.154Z</dcterms:created>
  <dcterms:modified xsi:type="dcterms:W3CDTF">2026-08-23T16:28:32.154Z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