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EMIRATI TALENT</w:t>
      </w:r>
    </w:p>
    <w:p>
      <w:pPr>
        <w:spacing w:after="260"/>
        <w:jc w:val="center"/>
      </w:pPr>
      <w:r>
        <w:rPr>
          <w:rFonts w:ascii="Calibri" w:cs="Calibri" w:eastAsia="Calibri" w:hAnsi="Calibri"/>
          <w:i/>
          <w:iCs/>
          <w:color w:val="6E7480"/>
          <w:sz w:val="19"/>
          <w:szCs w:val="19"/>
        </w:rPr>
        <w:t xml:space="preserve">Nafis, recruitment and retention</w:t>
      </w:r>
    </w:p>
    <w:p>
      <w:pPr>
        <w:spacing w:after="180" w:before="0" w:line="276"/>
        <w:jc w:val="both"/>
      </w:pPr>
      <w:r>
        <w:rPr>
          <w:rFonts w:ascii="Calibri" w:cs="Calibri" w:eastAsia="Calibri" w:hAnsi="Calibri"/>
          <w:i/>
          <w:iCs/>
          <w:color w:val="6E7480"/>
          <w:sz w:val="21"/>
          <w:szCs w:val="21"/>
        </w:rPr>
        <w:t xml:space="preserve">Meeting the quota and building an Emirati team are different projects, and only one of them survives an inspection. </w:t>
      </w:r>
      <w:r>
        <w:rPr>
          <w:rFonts w:ascii="Calibri" w:cs="Calibri" w:eastAsia="Calibri" w:hAnsi="Calibri"/>
          <w:b/>
          <w:bCs/>
          <w:i/>
          <w:iCs/>
          <w:color w:val="6E7480"/>
          <w:sz w:val="21"/>
          <w:szCs w:val="21"/>
        </w:rPr>
        <w:t xml:space="preserve">Fictitious hiring attracts penalties running to AED 1,000,000 per case</w:t>
      </w:r>
      <w:r>
        <w:rPr>
          <w:rFonts w:ascii="Calibri" w:cs="Calibri" w:eastAsia="Calibri" w:hAnsi="Calibri"/>
          <w:i/>
          <w:iCs/>
          <w:color w:val="6E7480"/>
          <w:sz w:val="21"/>
          <w:szCs w:val="21"/>
        </w:rPr>
        <w:t xml:space="preserve"> with criminal exposure, and MOHRE can examine bank records to test whether employment is genuine. Everything in this document assumes you are doing the real 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Skilled workforce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Emiratis employed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Current rate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Target at the next assessment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by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Shortfall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positions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Nafis registered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Nafis support claimed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Recalculated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i/>
                <w:iCs/>
                <w:sz w:val="19"/>
                <w:szCs w:val="19"/>
              </w:rPr>
              <w:t xml:space="preserve">monthly</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OBLIGATION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Point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it applies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Mainland establishments at the prescribed headcount thresholds. Free zones, DIFC and ADGM generally outside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base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Skilled workforce</w:t>
            </w:r>
            <w:r>
              <w:rPr>
                <w:rFonts w:ascii="Calibri" w:cs="Calibri" w:eastAsia="Calibri" w:hAnsi="Calibri"/>
                <w:sz w:val="18"/>
                <w:szCs w:val="18"/>
              </w:rPr>
              <w:t xml:space="preserve">, not total headcount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Targets step up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 with half-yearly assessment points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Penalty for shortfall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monthly amount per unfilled position, escalating each year</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target moves with hiring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Every skilled non-Emirati hire raises the requirement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Fictitious employment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100,000 to 1,000,000 per case; criminal exposure; bank records examinable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Enforcement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inspection, data matching, and complaint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Recalculate monthly, not at the assessment date.</w:t>
      </w:r>
      <w:r>
        <w:rPr>
          <w:rFonts w:ascii="Calibri" w:cs="Calibri" w:eastAsia="Calibri" w:hAnsi="Calibri"/>
          <w:sz w:val="21"/>
          <w:szCs w:val="21"/>
        </w:rPr>
        <w:t xml:space="preserve"> A company hiring steadily can fall below target without losing a single Emirati employee, and the penalty accrues from the point of shortfall rather than from discovery.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Confirm the current thresholds, target percentages, assessment dates and penalty amounts with MOHRE. They step up annually and any figure printed here would be a snapshot.</w:t>
      </w:r>
    </w:p>
    <w:p>
      <w:pPr>
        <w:keepNext/>
        <w:spacing w:after="120" w:before="280"/>
        <w:outlineLvl w:val="0"/>
      </w:pPr>
      <w:r>
        <w:rPr>
          <w:rFonts w:ascii="Calibri" w:cs="Calibri" w:eastAsia="Calibri" w:hAnsi="Calibri"/>
          <w:b/>
          <w:bCs/>
          <w:color w:val="14161B"/>
          <w:sz w:val="22"/>
          <w:szCs w:val="22"/>
        </w:rPr>
        <w:t xml:space="preserve">2. WHAT COUNTS, AND WHAT DOES NOT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Arrangement</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genuine Emirati employee, working, paid through WPS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Registered with GPSSA, contributions paid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Supports the position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on the file, not actually working</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Fictitious — heavy penalty and criminal exposure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Salary paid then returned to the employer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Collusion — bank records are examinable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Nominal role with no duties or reporting line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High risk on inspection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Part-time or flexible Emirati employment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how it counts]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 employed by a group company elsewhere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Counts for </w:t>
            </w:r>
            <w:r>
              <w:rPr>
                <w:rFonts w:ascii="Calibri" w:cs="Calibri" w:eastAsia="Calibri" w:hAnsi="Calibri"/>
                <w:b/>
                <w:bCs/>
                <w:sz w:val="18"/>
                <w:szCs w:val="18"/>
              </w:rPr>
              <w:t xml:space="preserve">that</w:t>
            </w:r>
            <w:r>
              <w:rPr>
                <w:rFonts w:ascii="Calibri" w:cs="Calibri" w:eastAsia="Calibri" w:hAnsi="Calibri"/>
                <w:sz w:val="18"/>
                <w:szCs w:val="18"/>
              </w:rPr>
              <w:t xml:space="preserve"> establishment, not this one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[Training or apprenticeship arrangements]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the current position]</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An arrangement that would not survive being explained to an inspector should not be entered into.</w:t>
      </w:r>
      <w:r>
        <w:rPr>
          <w:rFonts w:ascii="Calibri" w:cs="Calibri" w:eastAsia="Calibri" w:hAnsi="Calibri"/>
          <w:sz w:val="21"/>
          <w:szCs w:val="21"/>
        </w:rPr>
        <w:t xml:space="preserve"> The test is simple: does this person have a role, duties, a manager, and work they actually do?</w:t>
      </w:r>
    </w:p>
    <w:p>
      <w:pPr>
        <w:keepNext/>
        <w:spacing w:after="120" w:before="280"/>
        <w:outlineLvl w:val="0"/>
      </w:pPr>
      <w:r>
        <w:rPr>
          <w:rFonts w:ascii="Calibri" w:cs="Calibri" w:eastAsia="Calibri" w:hAnsi="Calibri"/>
          <w:b/>
          <w:bCs/>
          <w:color w:val="14161B"/>
          <w:sz w:val="22"/>
          <w:szCs w:val="22"/>
        </w:rPr>
        <w:t xml:space="preserve">3. NAFIS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Nafis is the federal programme supporting Emirati employment in the private sector, offering salary support, pension contribution support, training and a candidate pool.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the establishment on the platform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Post genuine roles with real requirements and salaries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candidates and interview properly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Apply for the support available for each hire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the employee with </w:t>
            </w:r>
            <w:r>
              <w:rPr>
                <w:rFonts w:ascii="Calibri" w:cs="Calibri" w:eastAsia="Calibri" w:hAnsi="Calibri"/>
                <w:b/>
                <w:bCs/>
                <w:sz w:val="18"/>
                <w:szCs w:val="18"/>
              </w:rPr>
              <w:t xml:space="preserve">GPSSA</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Maintain the records the programme requires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Recalculate the rate after each hire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 evidence of genuine employment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Post roles you would genuinely fill. A vacancy advertised at a salary or specification designed not to attract anyone is visible as such, and it defeats the purpose while still leaving the shortfall.</w:t>
      </w:r>
    </w:p>
    <w:p>
      <w:pPr>
        <w:keepNext/>
        <w:spacing w:after="120" w:before="280"/>
        <w:outlineLvl w:val="0"/>
      </w:pPr>
      <w:r>
        <w:rPr>
          <w:rFonts w:ascii="Calibri" w:cs="Calibri" w:eastAsia="Calibri" w:hAnsi="Calibri"/>
          <w:b/>
          <w:bCs/>
          <w:color w:val="14161B"/>
          <w:sz w:val="22"/>
          <w:szCs w:val="22"/>
        </w:rPr>
        <w:t xml:space="preserve">4. GPSSA</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Emirati employees are enrolled in the </w:t>
      </w:r>
      <w:r>
        <w:rPr>
          <w:rFonts w:ascii="Calibri" w:cs="Calibri" w:eastAsia="Calibri" w:hAnsi="Calibri"/>
          <w:b/>
          <w:bCs/>
          <w:sz w:val="21"/>
          <w:szCs w:val="21"/>
        </w:rPr>
        <w:t xml:space="preserve">General Pension and Social Security Authority</w:t>
      </w:r>
      <w:r>
        <w:rPr>
          <w:rFonts w:ascii="Calibri" w:cs="Calibri" w:eastAsia="Calibri" w:hAnsi="Calibri"/>
          <w:sz w:val="21"/>
          <w:szCs w:val="21"/>
        </w:rPr>
        <w:t xml:space="preserve"> scheme.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Contributions are </w:t>
      </w:r>
      <w:r>
        <w:rPr>
          <w:rFonts w:ascii="Calibri" w:cs="Calibri" w:eastAsia="Calibri" w:hAnsi="Calibri"/>
          <w:b/>
          <w:bCs/>
          <w:sz w:val="21"/>
          <w:szCs w:val="21"/>
        </w:rPr>
        <w:t xml:space="preserve">[11%]</w:t>
      </w:r>
      <w:r>
        <w:rPr>
          <w:rFonts w:ascii="Calibri" w:cs="Calibri" w:eastAsia="Calibri" w:hAnsi="Calibri"/>
          <w:b/>
          <w:bCs/>
          <w:sz w:val="21"/>
          <w:szCs w:val="21"/>
        </w:rPr>
        <w:t xml:space="preserve"> employee and </w:t>
      </w:r>
      <w:r>
        <w:rPr>
          <w:rFonts w:ascii="Calibri" w:cs="Calibri" w:eastAsia="Calibri" w:hAnsi="Calibri"/>
          <w:b/>
          <w:bCs/>
          <w:sz w:val="21"/>
          <w:szCs w:val="21"/>
        </w:rPr>
        <w:t xml:space="preserve">[15%]</w:t>
      </w:r>
      <w:r>
        <w:rPr>
          <w:rFonts w:ascii="Calibri" w:cs="Calibri" w:eastAsia="Calibri" w:hAnsi="Calibri"/>
          <w:b/>
          <w:bCs/>
          <w:sz w:val="21"/>
          <w:szCs w:val="21"/>
        </w:rPr>
        <w:t xml:space="preserve"> employer</w:t>
      </w:r>
      <w:r>
        <w:rPr>
          <w:rFonts w:ascii="Calibri" w:cs="Calibri" w:eastAsia="Calibri" w:hAnsi="Calibri"/>
          <w:sz w:val="21"/>
          <w:szCs w:val="21"/>
        </w:rPr>
        <w:t xml:space="preserve"> on the applicable base, on the rates applying since October 2023 for new entrants. </w:t>
      </w:r>
      <w:r>
        <w:rPr>
          <w:rFonts w:ascii="Calibri" w:cs="Calibri" w:eastAsia="Calibri" w:hAnsi="Calibri"/>
          <w:i/>
          <w:iCs/>
          <w:sz w:val="21"/>
          <w:szCs w:val="21"/>
        </w:rPr>
        <w:t xml:space="preserve">Confirm the current rates and which base applies.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Contributions are monthly and arrears are pursued. Registration is not optional.</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Gratuity does not apply to Emirati employees in the same way</w:t>
      </w:r>
      <w:r>
        <w:rPr>
          <w:rFonts w:ascii="Calibri" w:cs="Calibri" w:eastAsia="Calibri" w:hAnsi="Calibri"/>
          <w:sz w:val="21"/>
          <w:szCs w:val="21"/>
        </w:rPr>
        <w:t xml:space="preserve"> — the pension scheme takes its place. Confirm the position rather than accruing both or neither.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RECRUITING GENUINELY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539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Practice</w:t>
            </w:r>
          </w:p>
        </w:tc>
        <w:tc>
          <w:tcPr>
            <w:tcW w:type="dxa" w:w="53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Define a real role with real duties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whole compliance position rests on this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 a market salary for the role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Underpaying to meet a number produces turnover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Advertise through Nafis and other channels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Evidence of genuine effort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Interview against the requirements</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record the reasoning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Give a proper induction and a manager</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hire with no support leaves within months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 objectives and review them</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as any employee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Offer training and progression</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Retention is cheaper than replacement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not isolate the role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single Emirati hire in an otherwise homogeneous team rarely stays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Track retention, not just headcount</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Meeting the quota twice a year through churn is failure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Ask leavers why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answers are usually specific and fixable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Retention is where most employers actually fail. Hiring to a number and providing no role, no manager and no progression produces departures within a year, a renewed shortfall, and a reputation among Emirati candidates that makes the next hire harder.</w:t>
      </w:r>
    </w:p>
    <w:p>
      <w:pPr>
        <w:keepNext/>
        <w:spacing w:after="120" w:before="280"/>
        <w:outlineLvl w:val="0"/>
      </w:pPr>
      <w:r>
        <w:rPr>
          <w:rFonts w:ascii="Calibri" w:cs="Calibri" w:eastAsia="Calibri" w:hAnsi="Calibri"/>
          <w:b/>
          <w:bCs/>
          <w:color w:val="14161B"/>
          <w:sz w:val="22"/>
          <w:szCs w:val="22"/>
        </w:rPr>
        <w:t xml:space="preserve">6. MONTHLY CONTROL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975"/>
        <w:gridCol w:w="3182"/>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31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Result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Skilled workforce headcount</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 employees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Current rate</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Target at the next assessment</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Shortfall in positions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Estimated monthly penalty if unresolved</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AED </w:t>
            </w:r>
            <w:r>
              <w:rPr>
                <w:rFonts w:ascii="Calibri" w:cs="Calibri" w:eastAsia="Calibri" w:hAnsi="Calibri"/>
                <w:b/>
                <w:bCs/>
                <w:sz w:val="18"/>
                <w:szCs w:val="18"/>
              </w:rPr>
              <w:t xml:space="preserve">[AMOUNT]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Skilled hires planned this quarter</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w:t>
            </w:r>
            <w:r>
              <w:rPr>
                <w:rFonts w:ascii="Calibri" w:cs="Calibri" w:eastAsia="Calibri" w:hAnsi="Calibri"/>
                <w:i/>
                <w:iCs/>
                <w:sz w:val="18"/>
                <w:szCs w:val="18"/>
              </w:rPr>
              <w:t xml:space="preserve">each raises the target</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 recruitment in progress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Emirati leaver expected</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payments to Emirati employees confirmed</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Row 7 is the one that surprises people. Approving a hiring plan without checking its effect on the quota is how a compliant company becomes non-compliant while doing nothing wrong.</w:t>
      </w:r>
    </w:p>
    <w:p>
      <w:pPr>
        <w:keepNext/>
        <w:spacing w:after="120" w:before="280"/>
        <w:outlineLvl w:val="0"/>
      </w:pPr>
      <w:r>
        <w:rPr>
          <w:rFonts w:ascii="Calibri" w:cs="Calibri" w:eastAsia="Calibri" w:hAnsi="Calibri"/>
          <w:b/>
          <w:bCs/>
          <w:color w:val="14161B"/>
          <w:sz w:val="22"/>
          <w:szCs w:val="22"/>
        </w:rPr>
        <w:t xml:space="preserve">7.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 rate calculation with the headcount basis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Shows the position was monitored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MOHRE registered contracts for Emirati employees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Genuine employment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WPS records showing salary actually paid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primary evidence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GPSSA registration and contribution records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Nafis postings, applications and outcomes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of genuine effort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descriptions, objectives and appraisals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the role is real</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Attendance and work product</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Answers the fictitious-hire question directly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Penalties paid and correspondence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History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Recalculate monthly, not at the assessment date</w:t>
      </w:r>
    </w:p>
    <w:p>
      <w:pPr>
        <w:spacing w:after="60" w:line="264"/>
        <w:jc w:val="both"/>
      </w:pPr>
      <w:r>
        <w:rPr>
          <w:rFonts w:ascii="Calibri" w:cs="Calibri" w:eastAsia="Calibri" w:hAnsi="Calibri"/>
          <w:sz w:val="19"/>
          <w:szCs w:val="19"/>
        </w:rPr>
        <w:t xml:space="preserve">The target moves with the skilled workforce, so a company hiring steadily falls below it without losing a single Emirati employee. Penalties accrue from the shortfall, not from discovery. A monthly calculation is the single most valuable control here.</w:t>
      </w:r>
    </w:p>
    <w:p>
      <w:pPr>
        <w:keepNext/>
        <w:spacing w:after="40" w:before="140"/>
      </w:pPr>
      <w:r>
        <w:rPr>
          <w:rFonts w:ascii="Calibri" w:cs="Calibri" w:eastAsia="Calibri" w:hAnsi="Calibri"/>
          <w:b/>
          <w:bCs/>
          <w:color w:val="14161B"/>
          <w:sz w:val="20"/>
          <w:szCs w:val="20"/>
        </w:rPr>
        <w:t xml:space="preserve">Every skilled hire raises the requirement</w:t>
      </w:r>
    </w:p>
    <w:p>
      <w:pPr>
        <w:spacing w:after="60" w:line="264"/>
        <w:jc w:val="both"/>
      </w:pPr>
      <w:r>
        <w:rPr>
          <w:rFonts w:ascii="Calibri" w:cs="Calibri" w:eastAsia="Calibri" w:hAnsi="Calibri"/>
          <w:sz w:val="19"/>
          <w:szCs w:val="19"/>
        </w:rPr>
        <w:t xml:space="preserve">Approving a hiring plan without modelling its effect on the quota is how a compliant company becomes non-compliant while doing nothing wrong. Make the quota check part of recruitment approval.</w:t>
      </w:r>
    </w:p>
    <w:p>
      <w:pPr>
        <w:keepNext/>
        <w:spacing w:after="40" w:before="140"/>
      </w:pPr>
      <w:r>
        <w:rPr>
          <w:rFonts w:ascii="Calibri" w:cs="Calibri" w:eastAsia="Calibri" w:hAnsi="Calibri"/>
          <w:b/>
          <w:bCs/>
          <w:color w:val="14161B"/>
          <w:sz w:val="20"/>
          <w:szCs w:val="20"/>
        </w:rPr>
        <w:t xml:space="preserve">Fictitious hiring is a criminal matter</w:t>
      </w:r>
    </w:p>
    <w:p>
      <w:pPr>
        <w:spacing w:after="60" w:line="264"/>
        <w:jc w:val="both"/>
      </w:pPr>
      <w:r>
        <w:rPr>
          <w:rFonts w:ascii="Calibri" w:cs="Calibri" w:eastAsia="Calibri" w:hAnsi="Calibri"/>
          <w:sz w:val="19"/>
          <w:szCs w:val="19"/>
        </w:rPr>
        <w:t xml:space="preserve">Penalties run to AED 1,000,000 per case, with criminal exposure, and MOHRE can examine bank records to test whether salary was genuinely paid and retained. Any arrangement that would not survive being explained to an inspector should not be entered into.</w:t>
      </w:r>
    </w:p>
    <w:p>
      <w:pPr>
        <w:keepNext/>
        <w:spacing w:after="40" w:before="140"/>
      </w:pPr>
      <w:r>
        <w:rPr>
          <w:rFonts w:ascii="Calibri" w:cs="Calibri" w:eastAsia="Calibri" w:hAnsi="Calibri"/>
          <w:b/>
          <w:bCs/>
          <w:color w:val="14161B"/>
          <w:sz w:val="20"/>
          <w:szCs w:val="20"/>
        </w:rPr>
        <w:t xml:space="preserve">The test is whether the person actually works</w:t>
      </w:r>
    </w:p>
    <w:p>
      <w:pPr>
        <w:spacing w:after="60" w:line="264"/>
        <w:jc w:val="both"/>
      </w:pPr>
      <w:r>
        <w:rPr>
          <w:rFonts w:ascii="Calibri" w:cs="Calibri" w:eastAsia="Calibri" w:hAnsi="Calibri"/>
          <w:sz w:val="19"/>
          <w:szCs w:val="19"/>
        </w:rPr>
        <w:t xml:space="preserve">Does the role have duties, a manager, objectives and output? That is the question an inspection asks, and no amount of paperwork answers it if the answer is no.</w:t>
      </w:r>
    </w:p>
    <w:p>
      <w:pPr>
        <w:keepNext/>
        <w:spacing w:after="40" w:before="140"/>
      </w:pPr>
      <w:r>
        <w:rPr>
          <w:rFonts w:ascii="Calibri" w:cs="Calibri" w:eastAsia="Calibri" w:hAnsi="Calibri"/>
          <w:b/>
          <w:bCs/>
          <w:color w:val="14161B"/>
          <w:sz w:val="20"/>
          <w:szCs w:val="20"/>
        </w:rPr>
        <w:t xml:space="preserve">Post roles you would genuinely fill</w:t>
      </w:r>
    </w:p>
    <w:p>
      <w:pPr>
        <w:spacing w:after="60" w:line="264"/>
        <w:jc w:val="both"/>
      </w:pPr>
      <w:r>
        <w:rPr>
          <w:rFonts w:ascii="Calibri" w:cs="Calibri" w:eastAsia="Calibri" w:hAnsi="Calibri"/>
          <w:sz w:val="19"/>
          <w:szCs w:val="19"/>
        </w:rPr>
        <w:t xml:space="preserve">A vacancy advertised at a salary or specification designed not to attract anyone is visible as such. It defeats the purpose of the programme while leaving the shortfall and the penalty intact.</w:t>
      </w:r>
    </w:p>
    <w:p>
      <w:pPr>
        <w:keepNext/>
        <w:spacing w:after="40" w:before="140"/>
      </w:pPr>
      <w:r>
        <w:rPr>
          <w:rFonts w:ascii="Calibri" w:cs="Calibri" w:eastAsia="Calibri" w:hAnsi="Calibri"/>
          <w:b/>
          <w:bCs/>
          <w:color w:val="14161B"/>
          <w:sz w:val="20"/>
          <w:szCs w:val="20"/>
        </w:rPr>
        <w:t xml:space="preserve">Register Emirati employees with GPSSA</w:t>
      </w:r>
    </w:p>
    <w:p>
      <w:pPr>
        <w:spacing w:after="60" w:line="264"/>
        <w:jc w:val="both"/>
      </w:pPr>
      <w:r>
        <w:rPr>
          <w:rFonts w:ascii="Calibri" w:cs="Calibri" w:eastAsia="Calibri" w:hAnsi="Calibri"/>
          <w:sz w:val="19"/>
          <w:szCs w:val="19"/>
        </w:rPr>
        <w:t xml:space="preserve">Enrolment and monthly contributions are mandatory, arrears are pursued, and registration also supports the evidence that the employment is genuine.</w:t>
      </w:r>
    </w:p>
    <w:p>
      <w:pPr>
        <w:keepNext/>
        <w:spacing w:after="40" w:before="140"/>
      </w:pPr>
      <w:r>
        <w:rPr>
          <w:rFonts w:ascii="Calibri" w:cs="Calibri" w:eastAsia="Calibri" w:hAnsi="Calibri"/>
          <w:b/>
          <w:bCs/>
          <w:color w:val="14161B"/>
          <w:sz w:val="20"/>
          <w:szCs w:val="20"/>
        </w:rPr>
        <w:t xml:space="preserve">Confirm how gratuity interacts with the pension</w:t>
      </w:r>
    </w:p>
    <w:p>
      <w:pPr>
        <w:spacing w:after="60" w:line="264"/>
        <w:jc w:val="both"/>
      </w:pPr>
      <w:r>
        <w:rPr>
          <w:rFonts w:ascii="Calibri" w:cs="Calibri" w:eastAsia="Calibri" w:hAnsi="Calibri"/>
          <w:sz w:val="19"/>
          <w:szCs w:val="19"/>
        </w:rPr>
        <w:t xml:space="preserve">End-of-service gratuity does not apply to Emirati employees in the same way, because the pension scheme takes its place. Confirm the position rather than accruing both, or neither, by default.</w:t>
      </w:r>
    </w:p>
    <w:p>
      <w:pPr>
        <w:keepNext/>
        <w:spacing w:after="40" w:before="140"/>
      </w:pPr>
      <w:r>
        <w:rPr>
          <w:rFonts w:ascii="Calibri" w:cs="Calibri" w:eastAsia="Calibri" w:hAnsi="Calibri"/>
          <w:b/>
          <w:bCs/>
          <w:color w:val="14161B"/>
          <w:sz w:val="20"/>
          <w:szCs w:val="20"/>
        </w:rPr>
        <w:t xml:space="preserve">Retention is where employers actually fail</w:t>
      </w:r>
    </w:p>
    <w:p>
      <w:pPr>
        <w:spacing w:after="60" w:line="264"/>
        <w:jc w:val="both"/>
      </w:pPr>
      <w:r>
        <w:rPr>
          <w:rFonts w:ascii="Calibri" w:cs="Calibri" w:eastAsia="Calibri" w:hAnsi="Calibri"/>
          <w:sz w:val="19"/>
          <w:szCs w:val="19"/>
        </w:rPr>
        <w:t xml:space="preserve">Hiring to a number and providing no role, no manager and no progression produces departures within a year, a renewed shortfall, and a reputation among Emirati candidates that makes the next hire harder. Track retention, not headcount at assessment dates.</w:t>
      </w:r>
    </w:p>
    <w:p>
      <w:pPr>
        <w:keepNext/>
        <w:spacing w:after="40" w:before="140"/>
      </w:pPr>
      <w:r>
        <w:rPr>
          <w:rFonts w:ascii="Calibri" w:cs="Calibri" w:eastAsia="Calibri" w:hAnsi="Calibri"/>
          <w:b/>
          <w:bCs/>
          <w:color w:val="14161B"/>
          <w:sz w:val="20"/>
          <w:szCs w:val="20"/>
        </w:rPr>
        <w:t xml:space="preserve">Do not isolate the hire</w:t>
      </w:r>
    </w:p>
    <w:p>
      <w:pPr>
        <w:spacing w:after="60" w:line="264"/>
        <w:jc w:val="both"/>
      </w:pPr>
      <w:r>
        <w:rPr>
          <w:rFonts w:ascii="Calibri" w:cs="Calibri" w:eastAsia="Calibri" w:hAnsi="Calibri"/>
          <w:sz w:val="19"/>
          <w:szCs w:val="19"/>
        </w:rPr>
        <w:t xml:space="preserve">A single Emirati employee in an otherwise homogeneous team rarely stays. Where the target requires several hires, sequencing them into the same function tends to work better than scattering them.</w:t>
      </w:r>
    </w:p>
    <w:p>
      <w:pPr>
        <w:keepNext/>
        <w:spacing w:after="40" w:before="140"/>
      </w:pPr>
      <w:r>
        <w:rPr>
          <w:rFonts w:ascii="Calibri" w:cs="Calibri" w:eastAsia="Calibri" w:hAnsi="Calibri"/>
          <w:b/>
          <w:bCs/>
          <w:color w:val="14161B"/>
          <w:sz w:val="20"/>
          <w:szCs w:val="20"/>
        </w:rPr>
        <w:t xml:space="preserve">Pay the market rate</w:t>
      </w:r>
    </w:p>
    <w:p>
      <w:pPr>
        <w:spacing w:after="60" w:line="264"/>
        <w:jc w:val="both"/>
      </w:pPr>
      <w:r>
        <w:rPr>
          <w:rFonts w:ascii="Calibri" w:cs="Calibri" w:eastAsia="Calibri" w:hAnsi="Calibri"/>
          <w:sz w:val="19"/>
          <w:szCs w:val="19"/>
        </w:rPr>
        <w:t xml:space="preserve">Underpaying to meet a headcount number produces turnover, which produces a renewed shortfall. The penalty for an unfilled position is a monthly amount that quickly exceeds the difference between a below-market and a market salary.</w:t>
      </w:r>
    </w:p>
    <w:p>
      <w:pPr>
        <w:keepNext/>
        <w:spacing w:after="40" w:before="140"/>
      </w:pPr>
      <w:r>
        <w:rPr>
          <w:rFonts w:ascii="Calibri" w:cs="Calibri" w:eastAsia="Calibri" w:hAnsi="Calibri"/>
          <w:b/>
          <w:bCs/>
          <w:color w:val="14161B"/>
          <w:sz w:val="20"/>
          <w:szCs w:val="20"/>
        </w:rPr>
        <w:t xml:space="preserve">Free zones are generally outside the regime</w:t>
      </w:r>
    </w:p>
    <w:p>
      <w:pPr>
        <w:spacing w:after="60" w:line="264"/>
        <w:jc w:val="both"/>
      </w:pPr>
      <w:r>
        <w:rPr>
          <w:rFonts w:ascii="Calibri" w:cs="Calibri" w:eastAsia="Calibri" w:hAnsi="Calibri"/>
          <w:sz w:val="19"/>
          <w:szCs w:val="19"/>
        </w:rPr>
        <w:t xml:space="preserve">Emiratisation obligations attach to mainland establishments at the prescribed thresholds. Free zone, DIFC and ADGM entities are generally outside — but confirm rather than assume, particularly where a group spans both.</w:t>
      </w:r>
    </w:p>
    <w:p>
      <w:pPr>
        <w:keepNext/>
        <w:spacing w:after="40" w:before="140"/>
      </w:pPr>
      <w:r>
        <w:rPr>
          <w:rFonts w:ascii="Calibri" w:cs="Calibri" w:eastAsia="Calibri" w:hAnsi="Calibri"/>
          <w:b/>
          <w:bCs/>
          <w:color w:val="14161B"/>
          <w:sz w:val="20"/>
          <w:szCs w:val="20"/>
        </w:rPr>
        <w:t xml:space="preserve">Group companies count separately</w:t>
      </w:r>
    </w:p>
    <w:p>
      <w:pPr>
        <w:spacing w:after="60" w:line="264"/>
        <w:jc w:val="both"/>
      </w:pPr>
      <w:r>
        <w:rPr>
          <w:rFonts w:ascii="Calibri" w:cs="Calibri" w:eastAsia="Calibri" w:hAnsi="Calibri"/>
          <w:sz w:val="19"/>
          <w:szCs w:val="19"/>
        </w:rPr>
        <w:t xml:space="preserve">An Emirati employed by one establishment counts for that establishment. Groups sometimes assume a group-wide rate applies; it does not, and the shortfall sits with the entity that has it.</w:t>
      </w:r>
    </w:p>
    <w:p>
      <w:pPr>
        <w:keepNext/>
        <w:spacing w:after="40" w:before="140"/>
      </w:pPr>
      <w:r>
        <w:rPr>
          <w:rFonts w:ascii="Calibri" w:cs="Calibri" w:eastAsia="Calibri" w:hAnsi="Calibri"/>
          <w:b/>
          <w:bCs/>
          <w:color w:val="14161B"/>
          <w:sz w:val="20"/>
          <w:szCs w:val="20"/>
        </w:rPr>
        <w:t xml:space="preserve">Keep the evidence of genuine employment</w:t>
      </w:r>
    </w:p>
    <w:p>
      <w:pPr>
        <w:spacing w:after="60" w:line="264"/>
        <w:jc w:val="both"/>
      </w:pPr>
      <w:r>
        <w:rPr>
          <w:rFonts w:ascii="Calibri" w:cs="Calibri" w:eastAsia="Calibri" w:hAnsi="Calibri"/>
          <w:sz w:val="19"/>
          <w:szCs w:val="19"/>
        </w:rPr>
        <w:t xml:space="preserve">Registered contract, WPS payment records, GPSSA contributions, job description, objectives, appraisals and actual work product. This is what answers the fictitious-hire question, and it needs to exist contemporaneously.</w:t>
      </w:r>
    </w:p>
    <w:p>
      <w:pPr>
        <w:keepNext/>
        <w:spacing w:after="40" w:before="140"/>
      </w:pPr>
      <w:r>
        <w:rPr>
          <w:rFonts w:ascii="Calibri" w:cs="Calibri" w:eastAsia="Calibri" w:hAnsi="Calibri"/>
          <w:b/>
          <w:bCs/>
          <w:color w:val="14161B"/>
          <w:sz w:val="20"/>
          <w:szCs w:val="20"/>
        </w:rPr>
        <w:t xml:space="preserve">Verify the numbers annually</w:t>
      </w:r>
    </w:p>
    <w:p>
      <w:pPr>
        <w:spacing w:after="60" w:line="264"/>
        <w:jc w:val="both"/>
      </w:pPr>
      <w:r>
        <w:rPr>
          <w:rFonts w:ascii="Calibri" w:cs="Calibri" w:eastAsia="Calibri" w:hAnsi="Calibri"/>
          <w:sz w:val="19"/>
          <w:szCs w:val="19"/>
        </w:rPr>
        <w:t xml:space="preserve">Thresholds, target percentages, assessment dates and penalty amounts step up each year. Any figure in a policy document is a snapshot — confirm the current position with MOHRE at the start of each year.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Emiratisation thresholds and targets, assessment dates, penalty amounts, Nafis support levels, GPSSA contribution rates and the treatment of part-time and flexible arrangements all change — confirm the current position with MOHRE and Nafis, and take advice before relying on any arrangement to meet the quota.</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2026-08-23T16:28:32.729Z</dcterms:created>
  <dcterms:modified xsi:type="dcterms:W3CDTF">2026-08-23T16:28:32.729Z</dcterms:modified>
</cp:coreProperties>
</file>

<file path=docProps/custom.xml><?xml version="1.0" encoding="utf-8"?>
<Properties xmlns="http://schemas.openxmlformats.org/officeDocument/2006/custom-properties" xmlns:vt="http://schemas.openxmlformats.org/officeDocument/2006/docPropsVTypes"/>
</file>