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ECONOMIC SUBSTANCE</w:t>
      </w:r>
    </w:p>
    <w:p>
      <w:pPr>
        <w:spacing w:after="260"/>
        <w:jc w:val="center"/>
      </w:pPr>
      <w:r>
        <w:rPr>
          <w:rFonts w:ascii="Calibri" w:cs="Calibri" w:eastAsia="Calibri" w:hAnsi="Calibri"/>
          <w:i/>
          <w:iCs/>
          <w:color w:val="6E7480"/>
          <w:sz w:val="19"/>
          <w:szCs w:val="19"/>
        </w:rPr>
        <w:t xml:space="preserve">Assessing whether the regime still applies to you</w:t>
      </w:r>
    </w:p>
    <w:p>
      <w:pPr>
        <w:spacing w:after="180" w:before="0" w:line="276"/>
        <w:jc w:val="both"/>
      </w:pPr>
      <w:r>
        <w:rPr>
          <w:rFonts w:ascii="Calibri" w:cs="Calibri" w:eastAsia="Calibri" w:hAnsi="Calibri"/>
          <w:i/>
          <w:iCs/>
          <w:color w:val="6E7480"/>
          <w:sz w:val="21"/>
          <w:szCs w:val="21"/>
        </w:rPr>
        <w:t xml:space="preserve">Read this before doing anything else with it. The UAE Economic Substance Regulations were </w:t>
      </w:r>
      <w:r>
        <w:rPr>
          <w:rFonts w:ascii="Calibri" w:cs="Calibri" w:eastAsia="Calibri" w:hAnsi="Calibri"/>
          <w:b/>
          <w:bCs/>
          <w:i/>
          <w:iCs/>
          <w:color w:val="6E7480"/>
          <w:sz w:val="21"/>
          <w:szCs w:val="21"/>
        </w:rPr>
        <w:t xml:space="preserve">widely reported as ceasing to apply to financial years ending after 31 December 2022</w:t>
      </w:r>
      <w:r>
        <w:rPr>
          <w:rFonts w:ascii="Calibri" w:cs="Calibri" w:eastAsia="Calibri" w:hAnsi="Calibri"/>
          <w:i/>
          <w:iCs/>
          <w:color w:val="6E7480"/>
          <w:sz w:val="21"/>
          <w:szCs w:val="21"/>
        </w:rPr>
        <w:t xml:space="preserve">, with earlier periods still subject to assessment and filing. </w:t>
      </w:r>
      <w:r>
        <w:rPr>
          <w:rFonts w:ascii="Calibri" w:cs="Calibri" w:eastAsia="Calibri" w:hAnsi="Calibri"/>
          <w:b/>
          <w:bCs/>
          <w:i/>
          <w:iCs/>
          <w:color w:val="6E7480"/>
          <w:sz w:val="21"/>
          <w:szCs w:val="21"/>
        </w:rPr>
        <w:t xml:space="preserve">Confirm the current position before treating this as a live obligation — or before assuming it is dead.</w:t>
      </w:r>
      <w:r>
        <w:rPr>
          <w:rFonts w:ascii="Calibri" w:cs="Calibri" w:eastAsia="Calibri" w:hAnsi="Calibri"/>
          <w:i/>
          <w:iCs/>
          <w:color w:val="6E7480"/>
          <w:sz w:val="21"/>
          <w:szCs w:val="21"/>
        </w:rPr>
        <w:t xml:space="preserve"> This document is a historic assessment tool and a substance framework, not a filing instruction.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Current status of the regime confirmed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source: </w:t>
            </w:r>
            <w:r>
              <w:rPr>
                <w:rFonts w:ascii="Calibri" w:cs="Calibri" w:eastAsia="Calibri" w:hAnsi="Calibri"/>
                <w:b/>
                <w:bCs/>
                <w:sz w:val="19"/>
                <w:szCs w:val="19"/>
              </w:rPr>
              <w:t xml:space="preserve">[RECORD IT]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Applies to periods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 — verify]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years under assessment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Relevant activities identified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 None]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Notifications filed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Reports filed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penalties or queries received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 / None]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Assessed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VERIFY THE POSITION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590"/>
        <w:gridCol w:w="356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35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Does the regime still apply to current financial years?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 — verify with the Ministry of Finance]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earlier periods still open to assessment or penalty?</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Did we file notifications and reports for those periods?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any penalties outstanding or appealable?</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Have we received any query or assessment?</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we still need to retain the supporting records?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usually yes]</w:t>
            </w:r>
          </w:p>
        </w:tc>
      </w:tr>
      <w:tr>
        <w:trPr>
          <w:cantSplit/>
        </w:trPr>
        <w:tc>
          <w:tcPr>
            <w:tcW w:type="dxa" w:w="481"/>
            <w:tcMar>
              <w:top w:type="dxa" w:w="70"/>
              <w:left w:type="dxa" w:w="100"/>
              <w:bottom w:type="dxa" w:w="70"/>
              <w:right w:type="dxa" w:w="100"/>
            </w:tcMar>
            <w:vAlign w:val="center"/>
          </w:tcPr>
          <w:p>
            <w:pPr>
              <w:spacing w:after="0" w:line="240"/>
              <w:jc w:val="left"/>
            </w:pP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Conclusion</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[Live obligation / Historic only / Records retention only]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Two mistakes are equally common. Continuing to file for periods no longer in scope wastes effort and creates confusion. Assuming the regime is entirely dead and discarding the records for earlier periods removes the ability to answer a query about them.</w:t>
      </w:r>
    </w:p>
    <w:p>
      <w:pPr>
        <w:keepNext/>
        <w:spacing w:after="120" w:before="280"/>
        <w:outlineLvl w:val="0"/>
      </w:pPr>
      <w:r>
        <w:rPr>
          <w:rFonts w:ascii="Calibri" w:cs="Calibri" w:eastAsia="Calibri" w:hAnsi="Calibri"/>
          <w:b/>
          <w:bCs/>
          <w:color w:val="14161B"/>
          <w:sz w:val="22"/>
          <w:szCs w:val="22"/>
        </w:rPr>
        <w:t xml:space="preserve">2. RELEVANT ACTIVITIES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regime applied to entities carrying on defined </w:t>
      </w:r>
      <w:r>
        <w:rPr>
          <w:rFonts w:ascii="Calibri" w:cs="Calibri" w:eastAsia="Calibri" w:hAnsi="Calibri"/>
          <w:b/>
          <w:bCs/>
          <w:sz w:val="21"/>
          <w:szCs w:val="21"/>
        </w:rPr>
        <w:t xml:space="preserve">relevant activities</w:t>
      </w:r>
      <w:r>
        <w:rPr>
          <w:rFonts w:ascii="Calibri" w:cs="Calibri" w:eastAsia="Calibri" w:hAnsi="Calibri"/>
          <w:sz w:val="21"/>
          <w:szCs w:val="21"/>
        </w:rPr>
        <w:t xml:space="preserve">. Identify which, if any, the entity carried on in each period under assessment.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Relevant activity</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Carried on?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Investment fund management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Lease-finance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Headquarters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Shipping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Holding company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Intellectual property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Distribution and service centre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relevant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The categories that caught businesses unexpectedly were </w:t>
      </w:r>
      <w:r>
        <w:rPr>
          <w:rFonts w:ascii="Calibri" w:cs="Calibri" w:eastAsia="Calibri" w:hAnsi="Calibri"/>
          <w:i/>
          <w:iCs/>
          <w:sz w:val="21"/>
          <w:szCs w:val="21"/>
        </w:rPr>
        <w:t xml:space="preserve">holding company</w:t>
      </w:r>
      <w:r>
        <w:rPr>
          <w:rFonts w:ascii="Calibri" w:cs="Calibri" w:eastAsia="Calibri" w:hAnsi="Calibri"/>
          <w:i/>
          <w:iCs/>
          <w:sz w:val="21"/>
          <w:szCs w:val="21"/>
        </w:rPr>
        <w:t xml:space="preserve">, </w:t>
      </w:r>
      <w:r>
        <w:rPr>
          <w:rFonts w:ascii="Calibri" w:cs="Calibri" w:eastAsia="Calibri" w:hAnsi="Calibri"/>
          <w:i/>
          <w:iCs/>
          <w:sz w:val="21"/>
          <w:szCs w:val="21"/>
        </w:rPr>
        <w:t xml:space="preserve">distribution and service centre</w:t>
      </w:r>
      <w:r>
        <w:rPr>
          <w:rFonts w:ascii="Calibri" w:cs="Calibri" w:eastAsia="Calibri" w:hAnsi="Calibri"/>
          <w:i/>
          <w:iCs/>
          <w:sz w:val="21"/>
          <w:szCs w:val="21"/>
        </w:rPr>
        <w:t xml:space="preserve">, and </w:t>
      </w:r>
      <w:r>
        <w:rPr>
          <w:rFonts w:ascii="Calibri" w:cs="Calibri" w:eastAsia="Calibri" w:hAnsi="Calibri"/>
          <w:i/>
          <w:iCs/>
          <w:sz w:val="21"/>
          <w:szCs w:val="21"/>
        </w:rPr>
        <w:t xml:space="preserve">intellectual property</w:t>
      </w:r>
      <w:r>
        <w:rPr>
          <w:rFonts w:ascii="Calibri" w:cs="Calibri" w:eastAsia="Calibri" w:hAnsi="Calibri"/>
          <w:i/>
          <w:iCs/>
          <w:sz w:val="21"/>
          <w:szCs w:val="21"/>
        </w:rPr>
        <w:t xml:space="preserve">. Many entities carried on a relevant activity without recognising it — a group company holding shares in subsidiaries, or one buying from a related party and reselling.</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Substance is assessed on what the entity actually did</w:t>
      </w:r>
      <w:r>
        <w:rPr>
          <w:rFonts w:ascii="Calibri" w:cs="Calibri" w:eastAsia="Calibri" w:hAnsi="Calibri"/>
          <w:sz w:val="21"/>
          <w:szCs w:val="21"/>
        </w:rPr>
        <w:t xml:space="preserve">, not on what its licence says.</w:t>
      </w:r>
    </w:p>
    <w:p>
      <w:pPr>
        <w:keepNext/>
        <w:spacing w:after="120" w:before="280"/>
        <w:outlineLvl w:val="0"/>
      </w:pPr>
      <w:r>
        <w:rPr>
          <w:rFonts w:ascii="Calibri" w:cs="Calibri" w:eastAsia="Calibri" w:hAnsi="Calibri"/>
          <w:b/>
          <w:bCs/>
          <w:color w:val="14161B"/>
          <w:sz w:val="22"/>
          <w:szCs w:val="22"/>
        </w:rPr>
        <w:t xml:space="preserve">3. THE SUBSTANCE TEST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a relevant activity was carried on and income was derived from it, the entity had to demonstrate: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that the </w:t>
      </w:r>
      <w:r>
        <w:rPr>
          <w:rFonts w:ascii="Calibri" w:cs="Calibri" w:eastAsia="Calibri" w:hAnsi="Calibri"/>
          <w:b/>
          <w:bCs/>
          <w:sz w:val="21"/>
          <w:szCs w:val="21"/>
        </w:rPr>
        <w:t xml:space="preserve">core income-generating activities</w:t>
      </w:r>
      <w:r>
        <w:rPr>
          <w:rFonts w:ascii="Calibri" w:cs="Calibri" w:eastAsia="Calibri" w:hAnsi="Calibri"/>
          <w:sz w:val="21"/>
          <w:szCs w:val="21"/>
        </w:rPr>
        <w:t xml:space="preserve"> were conducted in the UAE;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that it was </w:t>
      </w:r>
      <w:r>
        <w:rPr>
          <w:rFonts w:ascii="Calibri" w:cs="Calibri" w:eastAsia="Calibri" w:hAnsi="Calibri"/>
          <w:b/>
          <w:bCs/>
          <w:sz w:val="21"/>
          <w:szCs w:val="21"/>
        </w:rPr>
        <w:t xml:space="preserve">directed and managed</w:t>
      </w:r>
      <w:r>
        <w:rPr>
          <w:rFonts w:ascii="Calibri" w:cs="Calibri" w:eastAsia="Calibri" w:hAnsi="Calibri"/>
          <w:sz w:val="21"/>
          <w:szCs w:val="21"/>
        </w:rPr>
        <w:t xml:space="preserve"> in the UAE — board meetings held here, with directors physically present, minuted and signed, and with the necessary knowledge and expertise;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that it had </w:t>
      </w:r>
      <w:r>
        <w:rPr>
          <w:rFonts w:ascii="Calibri" w:cs="Calibri" w:eastAsia="Calibri" w:hAnsi="Calibri"/>
          <w:b/>
          <w:bCs/>
          <w:sz w:val="21"/>
          <w:szCs w:val="21"/>
        </w:rPr>
        <w:t xml:space="preserve">adequate people</w:t>
      </w:r>
      <w:r>
        <w:rPr>
          <w:rFonts w:ascii="Calibri" w:cs="Calibri" w:eastAsia="Calibri" w:hAnsi="Calibri"/>
          <w:sz w:val="21"/>
          <w:szCs w:val="21"/>
        </w:rPr>
        <w:t xml:space="preserve">, physically present in the UAE;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that it had </w:t>
      </w:r>
      <w:r>
        <w:rPr>
          <w:rFonts w:ascii="Calibri" w:cs="Calibri" w:eastAsia="Calibri" w:hAnsi="Calibri"/>
          <w:b/>
          <w:bCs/>
          <w:sz w:val="21"/>
          <w:szCs w:val="21"/>
        </w:rPr>
        <w:t xml:space="preserve">adequate premises</w:t>
      </w:r>
      <w:r>
        <w:rPr>
          <w:rFonts w:ascii="Calibri" w:cs="Calibri" w:eastAsia="Calibri" w:hAnsi="Calibri"/>
          <w:sz w:val="21"/>
          <w:szCs w:val="21"/>
        </w:rPr>
        <w:t xml:space="preserve"> in the UAE;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that it incurred </w:t>
      </w:r>
      <w:r>
        <w:rPr>
          <w:rFonts w:ascii="Calibri" w:cs="Calibri" w:eastAsia="Calibri" w:hAnsi="Calibri"/>
          <w:b/>
          <w:bCs/>
          <w:sz w:val="21"/>
          <w:szCs w:val="21"/>
        </w:rPr>
        <w:t xml:space="preserve">adequate expenditure</w:t>
      </w:r>
      <w:r>
        <w:rPr>
          <w:rFonts w:ascii="Calibri" w:cs="Calibri" w:eastAsia="Calibri" w:hAnsi="Calibri"/>
          <w:sz w:val="21"/>
          <w:szCs w:val="21"/>
        </w:rPr>
        <w:t xml:space="preserve"> in the UAE.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activities were outsourced, the outsourced activities had to be performed in the UAE and the entity had to be able to monitor and control them.</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A </w:t>
      </w:r>
      <w:r>
        <w:rPr>
          <w:rFonts w:ascii="Calibri" w:cs="Calibri" w:eastAsia="Calibri" w:hAnsi="Calibri"/>
          <w:i/>
          <w:iCs/>
          <w:sz w:val="21"/>
          <w:szCs w:val="21"/>
        </w:rPr>
        <w:t xml:space="preserve">holding company</w:t>
      </w:r>
      <w:r>
        <w:rPr>
          <w:rFonts w:ascii="Calibri" w:cs="Calibri" w:eastAsia="Calibri" w:hAnsi="Calibri"/>
          <w:i/>
          <w:iCs/>
          <w:sz w:val="21"/>
          <w:szCs w:val="21"/>
        </w:rPr>
        <w:t xml:space="preserve"> was generally subject to a reduced test. An </w:t>
      </w:r>
      <w:r>
        <w:rPr>
          <w:rFonts w:ascii="Calibri" w:cs="Calibri" w:eastAsia="Calibri" w:hAnsi="Calibri"/>
          <w:i/>
          <w:iCs/>
          <w:sz w:val="21"/>
          <w:szCs w:val="21"/>
        </w:rPr>
        <w:t xml:space="preserve">intellectual property</w:t>
      </w:r>
      <w:r>
        <w:rPr>
          <w:rFonts w:ascii="Calibri" w:cs="Calibri" w:eastAsia="Calibri" w:hAnsi="Calibri"/>
          <w:i/>
          <w:iCs/>
          <w:sz w:val="21"/>
          <w:szCs w:val="21"/>
        </w:rPr>
        <w:t xml:space="preserve"> entity, particularly a "high risk IP" entity, faced a heightened test with a presumption against it that had to be rebutted.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EVIDENCE TO RETAIN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5397"/>
        <w:gridCol w:w="1736"/>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Evidence</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Held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Core activities in the UAE</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of what was actually done and where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Directed and managed here</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Board minutes showing meetings in the UAE with directors present and signed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 competence</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Backgrounds and the decisions taken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Adequate people</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Headcount, roles, payroll, visas, physical presence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Adequate premises</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Lease, registration, utilities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Adequate expenditure</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Accounts showing UAE-incurred cost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Outsourcing</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Agreements, evidence of UAE performance, monitoring records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Income attribution</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Revenue derived from the relevant activity, separately identified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Notifications and reports filed</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Submission confirmations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Board minutes were the most common weakness.</w:t>
      </w:r>
      <w:r>
        <w:rPr>
          <w:rFonts w:ascii="Calibri" w:cs="Calibri" w:eastAsia="Calibri" w:hAnsi="Calibri"/>
          <w:sz w:val="21"/>
          <w:szCs w:val="21"/>
        </w:rPr>
        <w:t xml:space="preserve"> Entities directed by overseas parents held no meetings in the UAE, or held them by video with no director physically present, and could not evidence direction and management here.</w:t>
      </w:r>
    </w:p>
    <w:p>
      <w:pPr>
        <w:keepNext/>
        <w:spacing w:after="120" w:before="280"/>
        <w:outlineLvl w:val="0"/>
      </w:pPr>
      <w:r>
        <w:rPr>
          <w:rFonts w:ascii="Calibri" w:cs="Calibri" w:eastAsia="Calibri" w:hAnsi="Calibri"/>
          <w:b/>
          <w:bCs/>
          <w:color w:val="14161B"/>
          <w:sz w:val="22"/>
          <w:szCs w:val="22"/>
        </w:rPr>
        <w:t xml:space="preserve">5. HISTORIC FILING POSITION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349"/>
        <w:gridCol w:w="2313"/>
        <w:gridCol w:w="1831"/>
        <w:gridCol w:w="1831"/>
        <w:gridCol w:w="183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Relevant activity?</w:t>
            </w:r>
          </w:p>
        </w:tc>
        <w:tc>
          <w:tcPr>
            <w:tcW w:type="dxa" w:w="18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Notification filed</w:t>
            </w:r>
          </w:p>
        </w:tc>
        <w:tc>
          <w:tcPr>
            <w:tcW w:type="dxa" w:w="18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Report filed</w:t>
            </w:r>
          </w:p>
        </w:tc>
        <w:tc>
          <w:tcPr>
            <w:tcW w:type="dxa" w:w="18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Outcome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which]</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 / N/A]</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 / N/A]</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 / N/A]</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Where a notification or report was missed for a period still open, take advice on whether it can be filed late and what the penalty position is.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Where a penalty was received, check the appeal window and whether it was exercised.</w:t>
      </w:r>
    </w:p>
    <w:p>
      <w:pPr>
        <w:keepNext/>
        <w:spacing w:after="120" w:before="280"/>
        <w:outlineLvl w:val="0"/>
      </w:pPr>
      <w:r>
        <w:rPr>
          <w:rFonts w:ascii="Calibri" w:cs="Calibri" w:eastAsia="Calibri" w:hAnsi="Calibri"/>
          <w:b/>
          <w:bCs/>
          <w:color w:val="14161B"/>
          <w:sz w:val="22"/>
          <w:szCs w:val="22"/>
        </w:rPr>
        <w:t xml:space="preserve">6. WHY SUBSTANCE STILL MATTERS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Even where the Economic Substance regime no longer applies to current periods, </w:t>
      </w:r>
      <w:r>
        <w:rPr>
          <w:rFonts w:ascii="Calibri" w:cs="Calibri" w:eastAsia="Calibri" w:hAnsi="Calibri"/>
          <w:b/>
          <w:bCs/>
          <w:sz w:val="21"/>
          <w:szCs w:val="21"/>
        </w:rPr>
        <w:t xml:space="preserve">substance remains relevant under other regimes</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Regime</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Substance requirement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Corporate tax — Qualifying Free Zone Person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Adequate substance in the free zone is an express condition of the 0% rate</w:t>
            </w:r>
            <w:r>
              <w:rPr>
                <w:rFonts w:ascii="Calibri" w:cs="Calibri" w:eastAsia="Calibri" w:hAnsi="Calibri"/>
                <w:sz w:val="18"/>
                <w:szCs w:val="18"/>
              </w:rPr>
              <w:t xml:space="preserve"> — people, premises, expenditure, core income-generating activity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Corporate tax residence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Place of effective management matters for residence and treaty access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Transfer pricing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Charges must reflect functions actually performed, assets used and risks assumed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Permanent establishment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activity is genuinely carried on determines where profits arise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Banking and counterparty diligence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Banks assess whether an entity has real operations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 anti-avoidance rules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Other jurisdictions test whether a UAE entity is substantive</w:t>
            </w:r>
          </w:p>
        </w:tc>
      </w:tr>
    </w:tbl>
    <w:p>
      <w:pPr>
        <w:spacing w:after="140"/>
      </w:pP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The evidence assembled for economic substance is largely the same evidence a QFZP claim needs. Do not discard it because one regime ended — repurpose it.</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Verify the current status before using this document</w:t>
      </w:r>
    </w:p>
    <w:p>
      <w:pPr>
        <w:spacing w:after="60" w:line="264"/>
        <w:jc w:val="both"/>
      </w:pPr>
      <w:r>
        <w:rPr>
          <w:rFonts w:ascii="Calibri" w:cs="Calibri" w:eastAsia="Calibri" w:hAnsi="Calibri"/>
          <w:sz w:val="19"/>
          <w:szCs w:val="19"/>
        </w:rPr>
        <w:t xml:space="preserve">The Economic Substance Regulations were widely reported as ceasing to apply to financial years ending after 31 December 2022, with earlier periods remaining assessable. That position must be confirmed with the Ministry of Finance or a UAE tax adviser before treating the regime as either live or dead. Record the date and source in the header.</w:t>
      </w:r>
    </w:p>
    <w:p>
      <w:pPr>
        <w:keepNext/>
        <w:spacing w:after="40" w:before="140"/>
      </w:pPr>
      <w:r>
        <w:rPr>
          <w:rFonts w:ascii="Calibri" w:cs="Calibri" w:eastAsia="Calibri" w:hAnsi="Calibri"/>
          <w:b/>
          <w:bCs/>
          <w:color w:val="14161B"/>
          <w:sz w:val="20"/>
          <w:szCs w:val="20"/>
        </w:rPr>
        <w:t xml:space="preserve">Both mistakes are common</w:t>
      </w:r>
    </w:p>
    <w:p>
      <w:pPr>
        <w:spacing w:after="60" w:line="264"/>
        <w:jc w:val="both"/>
      </w:pPr>
      <w:r>
        <w:rPr>
          <w:rFonts w:ascii="Calibri" w:cs="Calibri" w:eastAsia="Calibri" w:hAnsi="Calibri"/>
          <w:sz w:val="19"/>
          <w:szCs w:val="19"/>
        </w:rPr>
        <w:t xml:space="preserve">Continuing to file for periods out of scope wastes effort and confuses the record. Assuming the regime is entirely finished and discarding the supporting records removes the ability to answer a query about an earlier period that may still be open.</w:t>
      </w:r>
    </w:p>
    <w:p>
      <w:pPr>
        <w:keepNext/>
        <w:spacing w:after="40" w:before="140"/>
      </w:pPr>
      <w:r>
        <w:rPr>
          <w:rFonts w:ascii="Calibri" w:cs="Calibri" w:eastAsia="Calibri" w:hAnsi="Calibri"/>
          <w:b/>
          <w:bCs/>
          <w:color w:val="14161B"/>
          <w:sz w:val="20"/>
          <w:szCs w:val="20"/>
        </w:rPr>
        <w:t xml:space="preserve">Substance was assessed on activity, not licence</w:t>
      </w:r>
    </w:p>
    <w:p>
      <w:pPr>
        <w:spacing w:after="60" w:line="264"/>
        <w:jc w:val="both"/>
      </w:pPr>
      <w:r>
        <w:rPr>
          <w:rFonts w:ascii="Calibri" w:cs="Calibri" w:eastAsia="Calibri" w:hAnsi="Calibri"/>
          <w:sz w:val="19"/>
          <w:szCs w:val="19"/>
        </w:rPr>
        <w:t xml:space="preserve">The test looked at what the entity actually did, not what its trade licence said. Entities carried on relevant activities without recognising it, and licences described activities the entity never performed. Assess the reality for each period.</w:t>
      </w:r>
    </w:p>
    <w:p>
      <w:pPr>
        <w:keepNext/>
        <w:spacing w:after="40" w:before="140"/>
      </w:pPr>
      <w:r>
        <w:rPr>
          <w:rFonts w:ascii="Calibri" w:cs="Calibri" w:eastAsia="Calibri" w:hAnsi="Calibri"/>
          <w:b/>
          <w:bCs/>
          <w:color w:val="14161B"/>
          <w:sz w:val="20"/>
          <w:szCs w:val="20"/>
        </w:rPr>
        <w:t xml:space="preserve">Three categories caught people unexpectedly</w:t>
      </w:r>
    </w:p>
    <w:p>
      <w:pPr>
        <w:spacing w:after="60" w:line="264"/>
        <w:jc w:val="both"/>
      </w:pPr>
      <w:r>
        <w:rPr>
          <w:rFonts w:ascii="Calibri" w:cs="Calibri" w:eastAsia="Calibri" w:hAnsi="Calibri"/>
          <w:sz w:val="19"/>
          <w:szCs w:val="19"/>
        </w:rPr>
        <w:t xml:space="preserve">Holding company, distribution and service centre, and intellectual property. A group entity holding shares in subsidiaries, or one buying from a related party and reselling, frequently fell within scope without anyone realising until a notification deadline passed.</w:t>
      </w:r>
    </w:p>
    <w:p>
      <w:pPr>
        <w:keepNext/>
        <w:spacing w:after="40" w:before="140"/>
      </w:pPr>
      <w:r>
        <w:rPr>
          <w:rFonts w:ascii="Calibri" w:cs="Calibri" w:eastAsia="Calibri" w:hAnsi="Calibri"/>
          <w:b/>
          <w:bCs/>
          <w:color w:val="14161B"/>
          <w:sz w:val="20"/>
          <w:szCs w:val="20"/>
        </w:rPr>
        <w:t xml:space="preserve">Board minutes were the usual failure</w:t>
      </w:r>
    </w:p>
    <w:p>
      <w:pPr>
        <w:spacing w:after="60" w:line="264"/>
        <w:jc w:val="both"/>
      </w:pPr>
      <w:r>
        <w:rPr>
          <w:rFonts w:ascii="Calibri" w:cs="Calibri" w:eastAsia="Calibri" w:hAnsi="Calibri"/>
          <w:sz w:val="19"/>
          <w:szCs w:val="19"/>
        </w:rPr>
        <w:t xml:space="preserve">Entities directed by an overseas parent either held no board meetings in the UAE, or held them by video with no director physically present, and could not evidence direction and management here. Minutes showing UAE meetings with named directors present and signatures are the core evidence.</w:t>
      </w:r>
    </w:p>
    <w:p>
      <w:pPr>
        <w:keepNext/>
        <w:spacing w:after="40" w:before="140"/>
      </w:pPr>
      <w:r>
        <w:rPr>
          <w:rFonts w:ascii="Calibri" w:cs="Calibri" w:eastAsia="Calibri" w:hAnsi="Calibri"/>
          <w:b/>
          <w:bCs/>
          <w:color w:val="14161B"/>
          <w:sz w:val="20"/>
          <w:szCs w:val="20"/>
        </w:rPr>
        <w:t xml:space="preserve">Directors needed competence, not just presence</w:t>
      </w:r>
    </w:p>
    <w:p>
      <w:pPr>
        <w:spacing w:after="60" w:line="264"/>
        <w:jc w:val="both"/>
      </w:pPr>
      <w:r>
        <w:rPr>
          <w:rFonts w:ascii="Calibri" w:cs="Calibri" w:eastAsia="Calibri" w:hAnsi="Calibri"/>
          <w:sz w:val="19"/>
          <w:szCs w:val="19"/>
        </w:rPr>
        <w:t xml:space="preserve">The test looked for directors with the knowledge and expertise to take the decisions, meeting in the UAE and actually deciding. A nominee attending to satisfy a formality does not evidence direction and management.</w:t>
      </w:r>
    </w:p>
    <w:p>
      <w:pPr>
        <w:keepNext/>
        <w:spacing w:after="40" w:before="140"/>
      </w:pPr>
      <w:r>
        <w:rPr>
          <w:rFonts w:ascii="Calibri" w:cs="Calibri" w:eastAsia="Calibri" w:hAnsi="Calibri"/>
          <w:b/>
          <w:bCs/>
          <w:color w:val="14161B"/>
          <w:sz w:val="20"/>
          <w:szCs w:val="20"/>
        </w:rPr>
        <w:t xml:space="preserve">Outsourcing had to be performed in the UAE</w:t>
      </w:r>
    </w:p>
    <w:p>
      <w:pPr>
        <w:spacing w:after="60" w:line="264"/>
        <w:jc w:val="both"/>
      </w:pPr>
      <w:r>
        <w:rPr>
          <w:rFonts w:ascii="Calibri" w:cs="Calibri" w:eastAsia="Calibri" w:hAnsi="Calibri"/>
          <w:sz w:val="19"/>
          <w:szCs w:val="19"/>
        </w:rPr>
        <w:t xml:space="preserve">Activities could be outsourced, but they had to be carried out in the UAE and the entity had to be able to monitor and control them. Outsourcing to an overseas group service centre defeated the test rather than satisfying it.</w:t>
      </w:r>
    </w:p>
    <w:p>
      <w:pPr>
        <w:keepNext/>
        <w:spacing w:after="40" w:before="140"/>
      </w:pPr>
      <w:r>
        <w:rPr>
          <w:rFonts w:ascii="Calibri" w:cs="Calibri" w:eastAsia="Calibri" w:hAnsi="Calibri"/>
          <w:b/>
          <w:bCs/>
          <w:color w:val="14161B"/>
          <w:sz w:val="20"/>
          <w:szCs w:val="20"/>
        </w:rPr>
        <w:t xml:space="preserve">Holding companies faced a reduced test</w:t>
      </w:r>
    </w:p>
    <w:p>
      <w:pPr>
        <w:spacing w:after="60" w:line="264"/>
        <w:jc w:val="both"/>
      </w:pPr>
      <w:r>
        <w:rPr>
          <w:rFonts w:ascii="Calibri" w:cs="Calibri" w:eastAsia="Calibri" w:hAnsi="Calibri"/>
          <w:sz w:val="19"/>
          <w:szCs w:val="19"/>
        </w:rPr>
        <w:t xml:space="preserve">A pure equity holding company was generally subject to a lighter requirement. That is a genuine distinction and worth confirming for any group entity being assessed for an earlier period.</w:t>
      </w:r>
    </w:p>
    <w:p>
      <w:pPr>
        <w:keepNext/>
        <w:spacing w:after="40" w:before="140"/>
      </w:pPr>
      <w:r>
        <w:rPr>
          <w:rFonts w:ascii="Calibri" w:cs="Calibri" w:eastAsia="Calibri" w:hAnsi="Calibri"/>
          <w:b/>
          <w:bCs/>
          <w:color w:val="14161B"/>
          <w:sz w:val="20"/>
          <w:szCs w:val="20"/>
        </w:rPr>
        <w:t xml:space="preserve">IP entities faced a heightened test</w:t>
      </w:r>
    </w:p>
    <w:p>
      <w:pPr>
        <w:spacing w:after="60" w:line="264"/>
        <w:jc w:val="both"/>
      </w:pPr>
      <w:r>
        <w:rPr>
          <w:rFonts w:ascii="Calibri" w:cs="Calibri" w:eastAsia="Calibri" w:hAnsi="Calibri"/>
          <w:sz w:val="19"/>
          <w:szCs w:val="19"/>
        </w:rPr>
        <w:t xml:space="preserve">Intellectual property entities, and particularly those treated as high risk, faced a stricter standard with a presumption that had to be rebutted. Any historic assessment involving IP income warrants specific advice.</w:t>
      </w:r>
    </w:p>
    <w:p>
      <w:pPr>
        <w:keepNext/>
        <w:spacing w:after="40" w:before="140"/>
      </w:pPr>
      <w:r>
        <w:rPr>
          <w:rFonts w:ascii="Calibri" w:cs="Calibri" w:eastAsia="Calibri" w:hAnsi="Calibri"/>
          <w:b/>
          <w:bCs/>
          <w:color w:val="14161B"/>
          <w:sz w:val="20"/>
          <w:szCs w:val="20"/>
        </w:rPr>
        <w:t xml:space="preserve">Substance still matters under corporate tax</w:t>
      </w:r>
    </w:p>
    <w:p>
      <w:pPr>
        <w:spacing w:after="60" w:line="264"/>
        <w:jc w:val="both"/>
      </w:pPr>
      <w:r>
        <w:rPr>
          <w:rFonts w:ascii="Calibri" w:cs="Calibri" w:eastAsia="Calibri" w:hAnsi="Calibri"/>
          <w:sz w:val="19"/>
          <w:szCs w:val="19"/>
        </w:rPr>
        <w:t xml:space="preserve">Adequate substance in the free zone is an express condition of Qualifying Free Zone Person status and the 0% rate. The evidence assembled for economic substance — people, premises, expenditure, activity records — is largely the same evidence a QFZP claim needs.</w:t>
      </w:r>
    </w:p>
    <w:p>
      <w:pPr>
        <w:keepNext/>
        <w:spacing w:after="40" w:before="140"/>
      </w:pPr>
      <w:r>
        <w:rPr>
          <w:rFonts w:ascii="Calibri" w:cs="Calibri" w:eastAsia="Calibri" w:hAnsi="Calibri"/>
          <w:b/>
          <w:bCs/>
          <w:color w:val="14161B"/>
          <w:sz w:val="20"/>
          <w:szCs w:val="20"/>
        </w:rPr>
        <w:t xml:space="preserve">Retain the records regardless</w:t>
      </w:r>
    </w:p>
    <w:p>
      <w:pPr>
        <w:spacing w:after="60" w:line="264"/>
        <w:jc w:val="both"/>
      </w:pPr>
      <w:r>
        <w:rPr>
          <w:rFonts w:ascii="Calibri" w:cs="Calibri" w:eastAsia="Calibri" w:hAnsi="Calibri"/>
          <w:sz w:val="19"/>
          <w:szCs w:val="19"/>
        </w:rPr>
        <w:t xml:space="preserve">Earlier periods may remain assessable, and the same evidence supports corporate tax residence, transfer pricing and QFZP positions. Discarding it because one regime ended is the expensive version of tidying up.</w:t>
      </w:r>
    </w:p>
    <w:p>
      <w:pPr>
        <w:keepNext/>
        <w:spacing w:after="40" w:before="140"/>
      </w:pPr>
      <w:r>
        <w:rPr>
          <w:rFonts w:ascii="Calibri" w:cs="Calibri" w:eastAsia="Calibri" w:hAnsi="Calibri"/>
          <w:b/>
          <w:bCs/>
          <w:color w:val="14161B"/>
          <w:sz w:val="20"/>
          <w:szCs w:val="20"/>
        </w:rPr>
        <w:t xml:space="preserve">Check whether penalties were appealed</w:t>
      </w:r>
    </w:p>
    <w:p>
      <w:pPr>
        <w:spacing w:after="60" w:line="264"/>
        <w:jc w:val="both"/>
      </w:pPr>
      <w:r>
        <w:rPr>
          <w:rFonts w:ascii="Calibri" w:cs="Calibri" w:eastAsia="Calibri" w:hAnsi="Calibri"/>
          <w:sz w:val="19"/>
          <w:szCs w:val="19"/>
        </w:rPr>
        <w:t xml:space="preserve">Penalties were issued for late or missing notifications and reports. Where one was received, confirm whether an appeal window existed and whether it was used — this is frequently overlooked when responsibility for the filing has changed hands.</w:t>
      </w:r>
    </w:p>
    <w:p>
      <w:pPr>
        <w:keepNext/>
        <w:spacing w:after="40" w:before="140"/>
      </w:pPr>
      <w:r>
        <w:rPr>
          <w:rFonts w:ascii="Calibri" w:cs="Calibri" w:eastAsia="Calibri" w:hAnsi="Calibri"/>
          <w:b/>
          <w:bCs/>
          <w:color w:val="14161B"/>
          <w:sz w:val="20"/>
          <w:szCs w:val="20"/>
        </w:rPr>
        <w:t xml:space="preserve">Banks and counterparties test substance independently</w:t>
      </w:r>
    </w:p>
    <w:p>
      <w:pPr>
        <w:spacing w:after="60" w:line="264"/>
        <w:jc w:val="both"/>
      </w:pPr>
      <w:r>
        <w:rPr>
          <w:rFonts w:ascii="Calibri" w:cs="Calibri" w:eastAsia="Calibri" w:hAnsi="Calibri"/>
          <w:sz w:val="19"/>
          <w:szCs w:val="19"/>
        </w:rPr>
        <w:t xml:space="preserve">Regardless of any specific regime, banks assessing an account and counterparties conducting diligence look for real operations — staff, premises, activity. A licence with a flexi-desk and no operations struggles on that test whatever the tax position.</w:t>
      </w:r>
    </w:p>
    <w:p>
      <w:pPr>
        <w:keepNext/>
        <w:spacing w:after="40" w:before="140"/>
      </w:pPr>
      <w:r>
        <w:rPr>
          <w:rFonts w:ascii="Calibri" w:cs="Calibri" w:eastAsia="Calibri" w:hAnsi="Calibri"/>
          <w:b/>
          <w:bCs/>
          <w:color w:val="14161B"/>
          <w:sz w:val="20"/>
          <w:szCs w:val="20"/>
        </w:rPr>
        <w:t xml:space="preserve">Foreign regimes may test your substance too</w:t>
      </w:r>
    </w:p>
    <w:p>
      <w:pPr>
        <w:spacing w:after="60" w:line="264"/>
        <w:jc w:val="both"/>
      </w:pPr>
      <w:r>
        <w:rPr>
          <w:rFonts w:ascii="Calibri" w:cs="Calibri" w:eastAsia="Calibri" w:hAnsi="Calibri"/>
          <w:sz w:val="19"/>
          <w:szCs w:val="19"/>
        </w:rPr>
        <w:t xml:space="preserve">Other jurisdictions apply their own anti-avoidance and controlled foreign company rules to UAE entities within a group. Substance evidence prepared here is frequently requested by an overseas parent’s advisers.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the position as reported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application of the Economic Substance Regulations to current and historic periods is specifically unresolved in this document and must be verified</w:t>
      </w:r>
      <w:r>
        <w:rPr>
          <w:rFonts w:ascii="Calibri" w:cs="Calibri" w:eastAsia="Calibri" w:hAnsi="Calibri"/>
          <w:sz w:val="19"/>
          <w:szCs w:val="19"/>
        </w:rPr>
        <w:t xml:space="preserve"> with the Ministry of Finance or a UAE tax adviser. Relevant activity definitions, filing deadlines, penalty levels and appeal routes all change.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2026-08-23T16:28:36.177Z</dcterms:created>
  <dcterms:modified xsi:type="dcterms:W3CDTF">2026-08-23T16:28:36.177Z</dcterms:modified>
</cp:coreProperties>
</file>

<file path=docProps/custom.xml><?xml version="1.0" encoding="utf-8"?>
<Properties xmlns="http://schemas.openxmlformats.org/officeDocument/2006/custom-properties" xmlns:vt="http://schemas.openxmlformats.org/officeDocument/2006/docPropsVTypes"/>
</file>