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DUE DILIGENCE</w:t>
      </w:r>
    </w:p>
    <w:p>
      <w:pPr>
        <w:spacing w:after="260"/>
        <w:jc w:val="center"/>
      </w:pPr>
      <w:r>
        <w:rPr>
          <w:rFonts w:ascii="Calibri" w:cs="Calibri" w:eastAsia="Calibri" w:hAnsi="Calibri"/>
          <w:i/>
          <w:iCs/>
          <w:color w:val="6E7480"/>
          <w:sz w:val="19"/>
          <w:szCs w:val="19"/>
        </w:rPr>
        <w:t xml:space="preserve">Checklist for a UAE company</w:t>
      </w:r>
    </w:p>
    <w:p>
      <w:pPr>
        <w:spacing w:after="180" w:before="0" w:line="276"/>
        <w:jc w:val="both"/>
      </w:pPr>
      <w:r>
        <w:rPr>
          <w:rFonts w:ascii="Calibri" w:cs="Calibri" w:eastAsia="Calibri" w:hAnsi="Calibri"/>
          <w:i/>
          <w:iCs/>
          <w:color w:val="6E7480"/>
          <w:sz w:val="21"/>
          <w:szCs w:val="21"/>
        </w:rPr>
        <w:t xml:space="preserve">Five things surface in almost every UAE diligence and none of them are the financials: </w:t>
      </w:r>
      <w:r>
        <w:rPr>
          <w:rFonts w:ascii="Calibri" w:cs="Calibri" w:eastAsia="Calibri" w:hAnsi="Calibri"/>
          <w:b/>
          <w:bCs/>
          <w:i/>
          <w:iCs/>
          <w:color w:val="6E7480"/>
          <w:sz w:val="21"/>
          <w:szCs w:val="21"/>
        </w:rPr>
        <w:t xml:space="preserve">licence and activity mismatch, work permit and visa gaps, WPS and Emiratisation records, an out-of-date UBO register, and unassigned founder intellectual property</w:t>
      </w:r>
      <w:r>
        <w:rPr>
          <w:rFonts w:ascii="Calibri" w:cs="Calibri" w:eastAsia="Calibri" w:hAnsi="Calibri"/>
          <w:i/>
          <w:iCs/>
          <w:color w:val="6E7480"/>
          <w:sz w:val="21"/>
          <w:szCs w:val="21"/>
        </w:rPr>
        <w:t xml:space="preserve">. Run those first — they tell you whether the deal has a problem before anyone has spent heavily.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Target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Jurisdiction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 Free zone — name it / DIFC / ADGM]</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Group entities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[LIST WITH JURISDICTIONS]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Transaction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[Investment / Acquisition / Secondary]</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Cut-off date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Red flags identified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Status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 progress / Complete]</w:t>
            </w:r>
          </w:p>
        </w:tc>
      </w:tr>
    </w:tbl>
    <w:p>
      <w:pPr>
        <w:spacing w:after="180"/>
      </w:pPr>
    </w:p>
    <w:p>
      <w:pPr>
        <w:keepNext/>
        <w:spacing w:after="120" w:before="280"/>
        <w:outlineLvl w:val="0"/>
      </w:pPr>
      <w:r>
        <w:rPr>
          <w:rFonts w:ascii="Calibri" w:cs="Calibri" w:eastAsia="Calibri" w:hAnsi="Calibri"/>
          <w:b/>
          <w:bCs/>
          <w:color w:val="14161B"/>
          <w:sz w:val="22"/>
          <w:szCs w:val="22"/>
        </w:rPr>
        <w:t xml:space="preserve">THE FIVE THAT MATTER MOST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734"/>
        <w:gridCol w:w="3662"/>
        <w:gridCol w:w="3857"/>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Area</w:t>
            </w:r>
          </w:p>
        </w:tc>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What goes wrong</w:t>
            </w:r>
          </w:p>
        </w:tc>
        <w:tc>
          <w:tcPr>
            <w:tcW w:type="dxa" w:w="385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How to test it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Licence and activity</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The company does things its trade licence does not cover, or operates from premises not approved for the use</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Read the activity list against what the business actually does and where. Check the tenancy and its registration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Work permits and visas</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Staff working on the wrong permit, on a spouse or visit visa, or in roles that do not match their permit</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Sample the employee list against permits and job titles. Ask about anyone paid but not on the establishment file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WPS and Emiratisation</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Salaries paid differ from those registered; quota shortfalls accruing monthly; in the worst case, fictitious Emirati hires</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Reconcile WPS submissions to registered salaries. Recalculate the Emiratisation rate on skilled headcount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4</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UBO register</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Established at incorporation and never updated through transfers and investments</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Compare the register and central filing to the actual current ownership chain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5</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Founder and contractor IP</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Pre-incorporation code and contractor work never assigned</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Ask for executed assignments. Absence is the norm, not the exception</w:t>
            </w:r>
          </w:p>
        </w:tc>
      </w:tr>
    </w:tbl>
    <w:p>
      <w:pPr>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pPr>
    </w:p>
    <w:p>
      <w:pPr>
        <w:spacing w:after="240" w:before="240"/>
        <w:jc w:val="center"/>
      </w:pPr>
      <w:r>
        <w:rPr>
          <w:rFonts w:ascii="Calibri" w:cs="Calibri" w:eastAsia="Calibri" w:hAnsi="Calibri"/>
          <w:b/>
          <w:bCs/>
          <w:color w:val="14161B"/>
          <w:spacing w:val="12"/>
          <w:sz w:val="28"/>
          <w:szCs w:val="28"/>
        </w:rPr>
        <w:t xml:space="preserve">A. CORPORATE AND LICENSING</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601"/>
        <w:gridCol w:w="5714"/>
        <w:gridCol w:w="1503"/>
        <w:gridCol w:w="1503"/>
        <w:gridCol w:w="3909"/>
        <w:gridCol w:w="1808"/>
      </w:tblGrid>
      <w:tr>
        <w:trPr>
          <w:cantSplit/>
          <w:tblHeader/>
        </w:trPr>
        <w:tc>
          <w:tcPr>
            <w:tcW w:type="dxa" w:w="60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571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Item</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Requested</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Received</w:t>
            </w:r>
          </w:p>
        </w:tc>
        <w:tc>
          <w:tcPr>
            <w:tcW w:type="dxa" w:w="39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Issue</w:t>
            </w:r>
          </w:p>
        </w:tc>
        <w:tc>
          <w:tcPr>
            <w:tcW w:type="dxa" w:w="180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Severity</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A1</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Trade licence, all renewals, and the full activity list</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[Activities match operations?]</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A2</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Notarised Memorandum of Association and every amendment</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[Complete chain?]</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A3</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Establishment card and immigration file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[Current?]</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A4</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Tenancy contract and registration (Ejari / Tawtheeq)</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[Registered? Use approved?]</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A5</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Shareholder register and cap table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[Reconciles to the MOA?]</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A6</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All share transfers with notarisation and DED approvals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[Properly completed?]</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A7</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UBO register and central filing</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[Current?]</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A8</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Manager appointments and powers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[Match the licence?]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A9</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Shareholder resolutions and minutes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[NOTE]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A10</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Shareholders’ agreements and side letters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[Consistent with the MOA?]</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A11</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Powers of attorney granted, and whether revoked</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[Any live and forgotten?]</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A12</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Sector licences and regulator approvals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[NOTE]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A13</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Free zone: audited accounts where the zone requires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[NOTE]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A14</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Group structure chart with jurisdictions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[Which regimes apply?]</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bl>
    <w:p>
      <w:pPr>
        <w:spacing w:after="140"/>
      </w:pPr>
    </w:p>
    <w:p>
      <w:pPr>
        <w:spacing w:after="240" w:before="240"/>
        <w:jc w:val="center"/>
      </w:pPr>
      <w:r>
        <w:rPr>
          <w:rFonts w:ascii="Calibri" w:cs="Calibri" w:eastAsia="Calibri" w:hAnsi="Calibri"/>
          <w:b/>
          <w:bCs/>
          <w:color w:val="14161B"/>
          <w:spacing w:val="12"/>
          <w:sz w:val="28"/>
          <w:szCs w:val="28"/>
        </w:rPr>
        <w:t xml:space="preserve">B. EMPLOYMENT, IMMIGRATION AND PAYROLL</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601"/>
        <w:gridCol w:w="5714"/>
        <w:gridCol w:w="1503"/>
        <w:gridCol w:w="1503"/>
        <w:gridCol w:w="3909"/>
        <w:gridCol w:w="1808"/>
      </w:tblGrid>
      <w:tr>
        <w:trPr>
          <w:cantSplit/>
          <w:tblHeader/>
        </w:trPr>
        <w:tc>
          <w:tcPr>
            <w:tcW w:type="dxa" w:w="60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571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Item</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Requested</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Received</w:t>
            </w:r>
          </w:p>
        </w:tc>
        <w:tc>
          <w:tcPr>
            <w:tcW w:type="dxa" w:w="39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Issue</w:t>
            </w:r>
          </w:p>
        </w:tc>
        <w:tc>
          <w:tcPr>
            <w:tcW w:type="dxa" w:w="180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Severity</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B1</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Employee list reconciled to the MOHRE establishment file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[Anyone paid but not on file?]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B2</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MOHRE registered contracts for every employee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[Registered within 14 days?]</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B3</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Supplementary agreements — consistency with MOHRE contracts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[Any contradiction?]</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B4</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Work permits and residence visas — all current</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[Any lapsed? Roles match?]</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B5</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WPS submissions for 12 months, reconciled to registered salaries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[Underpayments? Gaps?]</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B6</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Emiratisation position and any penalties paid</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[Shortfall accruing?]</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B7</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Nafis registration and Emirati employment records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[Genuine employment?]</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B8</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GPSSA contributions for Emirati employees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[Arrears?]</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B9</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Gratuity provision — computed on basic salary</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[Under-provided?]</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B10</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DIFC / ADGM: scheme contributions up to 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[Arrears cannot be caught up]</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B11</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Health insurance in force for all employees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[NOTE]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B12</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Consultants and contractors — licensing and permit position</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[Disguised employment?]</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B13</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MOHRE complaints, labour claims or Tribunal matters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[NOTE]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B14</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Leave records and accrued entitlements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[NOTE]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B15</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Undocumented equity or bonus promises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[Asked directly?]</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bl>
    <w:p>
      <w:pPr>
        <w:spacing w:after="140"/>
      </w:pPr>
    </w:p>
    <w:p>
      <w:pPr>
        <w:spacing w:after="240" w:before="240"/>
        <w:jc w:val="center"/>
      </w:pPr>
      <w:r>
        <w:rPr>
          <w:rFonts w:ascii="Calibri" w:cs="Calibri" w:eastAsia="Calibri" w:hAnsi="Calibri"/>
          <w:b/>
          <w:bCs/>
          <w:color w:val="14161B"/>
          <w:spacing w:val="12"/>
          <w:sz w:val="28"/>
          <w:szCs w:val="28"/>
        </w:rPr>
        <w:t xml:space="preserve">C. TAX AND REGULATORY</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601"/>
        <w:gridCol w:w="5714"/>
        <w:gridCol w:w="1503"/>
        <w:gridCol w:w="1503"/>
        <w:gridCol w:w="3909"/>
        <w:gridCol w:w="1808"/>
      </w:tblGrid>
      <w:tr>
        <w:trPr>
          <w:cantSplit/>
          <w:tblHeader/>
        </w:trPr>
        <w:tc>
          <w:tcPr>
            <w:tcW w:type="dxa" w:w="60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571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Item</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Requested</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Received</w:t>
            </w:r>
          </w:p>
        </w:tc>
        <w:tc>
          <w:tcPr>
            <w:tcW w:type="dxa" w:w="39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Issue</w:t>
            </w:r>
          </w:p>
        </w:tc>
        <w:tc>
          <w:tcPr>
            <w:tcW w:type="dxa" w:w="180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Severity</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C1</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Corporate tax registration and returns filed</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[Registered on time?]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C2</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Free zone: QFZP analysis and de minimis working</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[Breach in any period?]</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C3</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Small Business Relief elections made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[NOTE]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C4</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Transfer pricing documentation for related-party dealings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[Prepared?]</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C5</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VAT registration, returns and payment history</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[Late filings?]</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C6</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Reverse charge on imported services accounted for</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[Commonly missed]</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C7</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Input tax recovery — blocked items excluded</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[Over-recovery?]</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C8</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E-invoicing phase applicable and readiness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[NOTE]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C9</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FTA correspondence, audits and assessments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[NOTE]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C10</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AML: DNFBP status, goAML registration, risk assessment</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[Is the target a DNFBP?]</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C11</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Data protection — which regime, policy, DPO, breach register</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[Right regime applied?]</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rPr>
          <w:cantSplit/>
        </w:trP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C12</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Cross-border transfer arrangements within the group</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[DIFC to mainland?]</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bl>
    <w:p>
      <w:pPr>
        <w:sectPr>
          <w:footerReference w:type="default" r:id="rId11"/>
          <w:footerReference w:type="first" r:id="rId12"/>
          <w:pgSz w:w="16838" w:h="11906" w:orient="landscape"/>
          <w:pgMar w:top="900" w:right="900" w:bottom="900" w:left="900" w:header="708" w:footer="708" w:gutter="0"/>
          <w:pgNumType/>
          <w:titlePg w:val="false"/>
          <w:docGrid w:linePitch="360"/>
        </w:sectPr>
      </w:pPr>
    </w:p>
    <w:p>
      <w:pPr>
        <w:keepNext/>
        <w:spacing w:after="120" w:before="280"/>
        <w:outlineLvl w:val="0"/>
      </w:pPr>
      <w:r>
        <w:rPr>
          <w:rFonts w:ascii="Calibri" w:cs="Calibri" w:eastAsia="Calibri" w:hAnsi="Calibri"/>
          <w:b/>
          <w:bCs/>
          <w:color w:val="14161B"/>
          <w:sz w:val="22"/>
          <w:szCs w:val="22"/>
        </w:rPr>
        <w:t xml:space="preserve">D. COMMERCIAL, IP AND ASSETS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782"/>
        <w:gridCol w:w="2216"/>
        <w:gridCol w:w="1159"/>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578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Item</w:t>
            </w:r>
          </w:p>
        </w:tc>
        <w:tc>
          <w:tcPr>
            <w:tcW w:type="dxa" w:w="221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Issue</w:t>
            </w:r>
          </w:p>
        </w:tc>
        <w:tc>
          <w:tcPr>
            <w:tcW w:type="dxa" w:w="115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Severity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D1</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Founder IP assignments, including pre-incorporation work</w:t>
            </w:r>
          </w:p>
        </w:tc>
        <w:tc>
          <w:tcPr>
            <w:tcW w:type="dxa" w:w="221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[Executed?]</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D2</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Contractor and agency IP assignments</w:t>
            </w:r>
          </w:p>
        </w:tc>
        <w:tc>
          <w:tcPr>
            <w:tcW w:type="dxa" w:w="221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[Every contractor?]</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D3</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Employment contracts containing IP assignment</w:t>
            </w:r>
          </w:p>
        </w:tc>
        <w:tc>
          <w:tcPr>
            <w:tcW w:type="dxa" w:w="221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D4</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Trade marks registered in the UAE, and in whose name</w:t>
            </w:r>
          </w:p>
        </w:tc>
        <w:tc>
          <w:tcPr>
            <w:tcW w:type="dxa" w:w="221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[Company or an individual?]</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D5</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Domain names and social handles held by the company</w:t>
            </w:r>
          </w:p>
        </w:tc>
        <w:tc>
          <w:tcPr>
            <w:tcW w:type="dxa" w:w="221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D6</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Open source inventory and licence review</w:t>
            </w:r>
          </w:p>
        </w:tc>
        <w:tc>
          <w:tcPr>
            <w:tcW w:type="dxa" w:w="221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[Copyleft obligations?]</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D7</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Material customer contracts — terms, termination, change of control</w:t>
            </w:r>
          </w:p>
        </w:tc>
        <w:tc>
          <w:tcPr>
            <w:tcW w:type="dxa" w:w="221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D8</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Customer concentration</w:t>
            </w:r>
          </w:p>
        </w:tc>
        <w:tc>
          <w:tcPr>
            <w:tcW w:type="dxa" w:w="221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D9</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Supplier contracts and exclusivity</w:t>
            </w:r>
          </w:p>
        </w:tc>
        <w:tc>
          <w:tcPr>
            <w:tcW w:type="dxa" w:w="221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D10</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Registered commercial agency arrangements</w:t>
            </w:r>
          </w:p>
        </w:tc>
        <w:tc>
          <w:tcPr>
            <w:tcW w:type="dxa" w:w="221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Very hard to exit — check</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D11</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Distribution arrangements and territory commitments</w:t>
            </w:r>
          </w:p>
        </w:tc>
        <w:tc>
          <w:tcPr>
            <w:tcW w:type="dxa" w:w="221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D12</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Leases, registration and reinstatement obligations</w:t>
            </w:r>
          </w:p>
        </w:tc>
        <w:tc>
          <w:tcPr>
            <w:tcW w:type="dxa" w:w="221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D13</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Post-dated cheques issued and outstanding</w:t>
            </w:r>
          </w:p>
        </w:tc>
        <w:tc>
          <w:tcPr>
            <w:tcW w:type="dxa" w:w="221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 live liability]</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D14</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Bank facilities, security and guarantees given</w:t>
            </w:r>
          </w:p>
        </w:tc>
        <w:tc>
          <w:tcPr>
            <w:tcW w:type="dxa" w:w="221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D15</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Insurance in force — PI, public liability, work injury, D&amp;O</w:t>
            </w:r>
          </w:p>
        </w:tc>
        <w:tc>
          <w:tcPr>
            <w:tcW w:type="dxa" w:w="221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D16</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Litigation, arbitration, regulatory investigation, letters of demand</w:t>
            </w:r>
          </w:p>
        </w:tc>
        <w:tc>
          <w:tcPr>
            <w:tcW w:type="dxa" w:w="221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D17</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Related party transactions and shareholder loans</w:t>
            </w:r>
          </w:p>
        </w:tc>
        <w:tc>
          <w:tcPr>
            <w:tcW w:type="dxa" w:w="221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[Documented?]</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bl>
    <w:p>
      <w:pPr>
        <w:spacing w:after="160"/>
      </w:pPr>
    </w:p>
    <w:p>
      <w:pPr>
        <w:keepNext/>
        <w:spacing w:after="120" w:before="280"/>
        <w:outlineLvl w:val="0"/>
      </w:pPr>
      <w:r>
        <w:rPr>
          <w:rFonts w:ascii="Calibri" w:cs="Calibri" w:eastAsia="Calibri" w:hAnsi="Calibri"/>
          <w:b/>
          <w:bCs/>
          <w:color w:val="14161B"/>
          <w:sz w:val="22"/>
          <w:szCs w:val="22"/>
        </w:rPr>
        <w:t xml:space="preserve">E. FINDINGS AND RESOLUTION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2505"/>
        <w:gridCol w:w="771"/>
        <w:gridCol w:w="963"/>
        <w:gridCol w:w="2891"/>
        <w:gridCol w:w="2123"/>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Finding</w:t>
            </w:r>
          </w:p>
        </w:tc>
        <w:tc>
          <w:tcPr>
            <w:tcW w:type="dxa" w:w="7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Area</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Severity</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Effect</w:t>
            </w:r>
          </w:p>
        </w:tc>
        <w:tc>
          <w:tcPr>
            <w:tcW w:type="dxa" w:w="212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Resolution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[DESCRIBE]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[A–D]</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[High]</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[Condition / price / indemnity / warranty / walk away]</w:t>
            </w:r>
          </w:p>
        </w:tc>
        <w:tc>
          <w:tcPr>
            <w:tcW w:type="dxa" w:w="212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[ACTION]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[DESCRIBE]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[A–D]</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[Medium]</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[EFFECT]</w:t>
            </w:r>
          </w:p>
        </w:tc>
        <w:tc>
          <w:tcPr>
            <w:tcW w:type="dxa" w:w="212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[ACTION]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[DESCRIBE]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[A–D]</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[Low]</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[EFFECT]</w:t>
            </w:r>
          </w:p>
        </w:tc>
        <w:tc>
          <w:tcPr>
            <w:tcW w:type="dxa" w:w="212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[ACTION]</w:t>
            </w:r>
          </w:p>
        </w:tc>
      </w:tr>
    </w:tbl>
    <w:p>
      <w:pPr>
        <w:spacing w:after="140"/>
      </w:pP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7325"/>
      </w:tblGrid>
      <w:tr>
        <w:trPr>
          <w:cantSplit/>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Route</w:t>
            </w:r>
          </w:p>
        </w:tc>
        <w:tc>
          <w:tcPr>
            <w:tcW w:type="dxa" w:w="732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When appropriate</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Fix before closing</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Curable defects — execute the IP assignment, file the UBO update, register the tenancy, regularise a permit</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Condition precedent</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the fix is essential before money moves</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Specific indemnity</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Identified and quantifiable — WPS arrears, Emiratisation penalties, unpaid gratuity, a known tax exposure</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Warranty</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Unknown and general risk</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Price adjustment</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Quantifiable where the seller will not indemnify</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Walk away</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Core IP not owned, licence fundamentally mismatched, or a registered agency that cannot be exited</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Run the five high-yield checks first</w:t>
      </w:r>
    </w:p>
    <w:p>
      <w:pPr>
        <w:spacing w:after="60" w:line="264"/>
        <w:jc w:val="both"/>
      </w:pPr>
      <w:r>
        <w:rPr>
          <w:rFonts w:ascii="Calibri" w:cs="Calibri" w:eastAsia="Calibri" w:hAnsi="Calibri"/>
          <w:sz w:val="19"/>
          <w:szCs w:val="19"/>
        </w:rPr>
        <w:t xml:space="preserve">Licence and activity mismatch, permit and visa gaps, WPS and Emiratisation records, a stale UBO register, and unassigned founder IP account for most of what UAE diligence actually finds. Testing these in the first week tells you whether the deal has a problem before significant cost is incurred.</w:t>
      </w:r>
    </w:p>
    <w:p>
      <w:pPr>
        <w:keepNext/>
        <w:spacing w:after="40" w:before="140"/>
      </w:pPr>
      <w:r>
        <w:rPr>
          <w:rFonts w:ascii="Calibri" w:cs="Calibri" w:eastAsia="Calibri" w:hAnsi="Calibri"/>
          <w:b/>
          <w:bCs/>
          <w:color w:val="14161B"/>
          <w:sz w:val="20"/>
          <w:szCs w:val="20"/>
        </w:rPr>
        <w:t xml:space="preserve">Read the activity list against what the business does</w:t>
      </w:r>
    </w:p>
    <w:p>
      <w:pPr>
        <w:spacing w:after="60" w:line="264"/>
        <w:jc w:val="both"/>
      </w:pPr>
      <w:r>
        <w:rPr>
          <w:rFonts w:ascii="Calibri" w:cs="Calibri" w:eastAsia="Calibri" w:hAnsi="Calibri"/>
          <w:sz w:val="19"/>
          <w:szCs w:val="19"/>
        </w:rPr>
        <w:t xml:space="preserve">A UAE company may only carry on the activities on its licence, from premises approved for that use. A mismatch is not a technicality — it can invalidate contracts, block visa applications and attract penalties, and it is surprisingly common in businesses that have evolved since incorporation.</w:t>
      </w:r>
    </w:p>
    <w:p>
      <w:pPr>
        <w:keepNext/>
        <w:spacing w:after="40" w:before="140"/>
      </w:pPr>
      <w:r>
        <w:rPr>
          <w:rFonts w:ascii="Calibri" w:cs="Calibri" w:eastAsia="Calibri" w:hAnsi="Calibri"/>
          <w:b/>
          <w:bCs/>
          <w:color w:val="14161B"/>
          <w:sz w:val="20"/>
          <w:szCs w:val="20"/>
        </w:rPr>
        <w:t xml:space="preserve">Reconcile the employee list to the establishment file</w:t>
      </w:r>
    </w:p>
    <w:p>
      <w:pPr>
        <w:spacing w:after="60" w:line="264"/>
        <w:jc w:val="both"/>
      </w:pPr>
      <w:r>
        <w:rPr>
          <w:rFonts w:ascii="Calibri" w:cs="Calibri" w:eastAsia="Calibri" w:hAnsi="Calibri"/>
          <w:sz w:val="19"/>
          <w:szCs w:val="19"/>
        </w:rPr>
        <w:t xml:space="preserve">The two most revealing questions are whether anyone is being paid who is not on the establishment file, and whether anyone holds a permit for a role they do not perform. Both indicate informal arrangements that transfer to the buyer.</w:t>
      </w:r>
    </w:p>
    <w:p>
      <w:pPr>
        <w:keepNext/>
        <w:spacing w:after="40" w:before="140"/>
      </w:pPr>
      <w:r>
        <w:rPr>
          <w:rFonts w:ascii="Calibri" w:cs="Calibri" w:eastAsia="Calibri" w:hAnsi="Calibri"/>
          <w:b/>
          <w:bCs/>
          <w:color w:val="14161B"/>
          <w:sz w:val="20"/>
          <w:szCs w:val="20"/>
        </w:rPr>
        <w:t xml:space="preserve">WPS records are a twelve-month audit trail</w:t>
      </w:r>
    </w:p>
    <w:p>
      <w:pPr>
        <w:spacing w:after="60" w:line="264"/>
        <w:jc w:val="both"/>
      </w:pPr>
      <w:r>
        <w:rPr>
          <w:rFonts w:ascii="Calibri" w:cs="Calibri" w:eastAsia="Calibri" w:hAnsi="Calibri"/>
          <w:sz w:val="19"/>
          <w:szCs w:val="19"/>
        </w:rPr>
        <w:t xml:space="preserve">Compare submissions against salaries registered with MOHRE. Underpayments, missing employees and gaps in submission are all visible without asking the target anything, and they quantify directly into an indemnity.</w:t>
      </w:r>
    </w:p>
    <w:p>
      <w:pPr>
        <w:keepNext/>
        <w:spacing w:after="40" w:before="140"/>
      </w:pPr>
      <w:r>
        <w:rPr>
          <w:rFonts w:ascii="Calibri" w:cs="Calibri" w:eastAsia="Calibri" w:hAnsi="Calibri"/>
          <w:b/>
          <w:bCs/>
          <w:color w:val="14161B"/>
          <w:sz w:val="20"/>
          <w:szCs w:val="20"/>
        </w:rPr>
        <w:t xml:space="preserve">Recalculate the Emiratisation position yourself</w:t>
      </w:r>
    </w:p>
    <w:p>
      <w:pPr>
        <w:spacing w:after="60" w:line="264"/>
        <w:jc w:val="both"/>
      </w:pPr>
      <w:r>
        <w:rPr>
          <w:rFonts w:ascii="Calibri" w:cs="Calibri" w:eastAsia="Calibri" w:hAnsi="Calibri"/>
          <w:sz w:val="19"/>
          <w:szCs w:val="19"/>
        </w:rPr>
        <w:t xml:space="preserve">Penalties accrue monthly per unfilled position without any complaint being filed. Compute the rate on skilled headcount rather than accepting the target’s figure, and ask specifically about any arrangement that produced an Emirati hire without genuine employment — collusion penalties run to AED 1,000,000 per fictitious hire and carry criminal exposure.</w:t>
      </w:r>
    </w:p>
    <w:p>
      <w:pPr>
        <w:keepNext/>
        <w:spacing w:after="40" w:before="140"/>
      </w:pPr>
      <w:r>
        <w:rPr>
          <w:rFonts w:ascii="Calibri" w:cs="Calibri" w:eastAsia="Calibri" w:hAnsi="Calibri"/>
          <w:b/>
          <w:bCs/>
          <w:color w:val="14161B"/>
          <w:sz w:val="20"/>
          <w:szCs w:val="20"/>
        </w:rPr>
        <w:t xml:space="preserve">Check gratuity is provided on basic salary</w:t>
      </w:r>
    </w:p>
    <w:p>
      <w:pPr>
        <w:spacing w:after="60" w:line="264"/>
        <w:jc w:val="both"/>
      </w:pPr>
      <w:r>
        <w:rPr>
          <w:rFonts w:ascii="Calibri" w:cs="Calibri" w:eastAsia="Calibri" w:hAnsi="Calibri"/>
          <w:sz w:val="19"/>
          <w:szCs w:val="19"/>
        </w:rPr>
        <w:t xml:space="preserve">Gratuity accrues at 21 days per year for five years and 30 thereafter, on basic salary only. Under-provisioning is common where finance has used a simplified assumption, and the shortfall is a real liability the buyer inherits.</w:t>
      </w:r>
    </w:p>
    <w:p>
      <w:pPr>
        <w:keepNext/>
        <w:spacing w:after="40" w:before="140"/>
      </w:pPr>
      <w:r>
        <w:rPr>
          <w:rFonts w:ascii="Calibri" w:cs="Calibri" w:eastAsia="Calibri" w:hAnsi="Calibri"/>
          <w:b/>
          <w:bCs/>
          <w:color w:val="14161B"/>
          <w:sz w:val="20"/>
          <w:szCs w:val="20"/>
        </w:rPr>
        <w:t xml:space="preserve">DIFC and ADGM scheme arrears cannot be caught up</w:t>
      </w:r>
    </w:p>
    <w:p>
      <w:pPr>
        <w:spacing w:after="60" w:line="264"/>
        <w:jc w:val="both"/>
      </w:pPr>
      <w:r>
        <w:rPr>
          <w:rFonts w:ascii="Calibri" w:cs="Calibri" w:eastAsia="Calibri" w:hAnsi="Calibri"/>
          <w:sz w:val="19"/>
          <w:szCs w:val="19"/>
        </w:rPr>
        <w:t xml:space="preserve">Funded end-of-service schemes require actual monthly contributions. A target that kept accruing a gratuity provision after moving into DIFC has arrears that must be paid, not a provision that can be settled at exit. Test the contribution history, not the balance sheet line.</w:t>
      </w:r>
    </w:p>
    <w:p>
      <w:pPr>
        <w:keepNext/>
        <w:spacing w:after="40" w:before="140"/>
      </w:pPr>
      <w:r>
        <w:rPr>
          <w:rFonts w:ascii="Calibri" w:cs="Calibri" w:eastAsia="Calibri" w:hAnsi="Calibri"/>
          <w:b/>
          <w:bCs/>
          <w:color w:val="14161B"/>
          <w:sz w:val="20"/>
          <w:szCs w:val="20"/>
        </w:rPr>
        <w:t xml:space="preserve">The UBO register is almost always out of date</w:t>
      </w:r>
    </w:p>
    <w:p>
      <w:pPr>
        <w:spacing w:after="60" w:line="264"/>
        <w:jc w:val="both"/>
      </w:pPr>
      <w:r>
        <w:rPr>
          <w:rFonts w:ascii="Calibri" w:cs="Calibri" w:eastAsia="Calibri" w:hAnsi="Calibri"/>
          <w:sz w:val="19"/>
          <w:szCs w:val="19"/>
        </w:rPr>
        <w:t xml:space="preserve">Established at incorporation and never revisited through transfers, investments and restructurings. Compare it to the actual current ownership chain, remembering the beneficial owner is always a natural person however many layers sit between.</w:t>
      </w:r>
    </w:p>
    <w:p>
      <w:pPr>
        <w:keepNext/>
        <w:spacing w:after="40" w:before="140"/>
      </w:pPr>
      <w:r>
        <w:rPr>
          <w:rFonts w:ascii="Calibri" w:cs="Calibri" w:eastAsia="Calibri" w:hAnsi="Calibri"/>
          <w:b/>
          <w:bCs/>
          <w:color w:val="14161B"/>
          <w:sz w:val="20"/>
          <w:szCs w:val="20"/>
        </w:rPr>
        <w:t xml:space="preserve">Founder IP is the defect that can stop a deal</w:t>
      </w:r>
    </w:p>
    <w:p>
      <w:pPr>
        <w:spacing w:after="60" w:line="264"/>
        <w:jc w:val="both"/>
      </w:pPr>
      <w:r>
        <w:rPr>
          <w:rFonts w:ascii="Calibri" w:cs="Calibri" w:eastAsia="Calibri" w:hAnsi="Calibri"/>
          <w:sz w:val="19"/>
          <w:szCs w:val="19"/>
        </w:rPr>
        <w:t xml:space="preserve">Code, designs and brand created before incorporation, or by contractors engaged without an assignment clause, belong to those individuals. Where the core product was built that way and a founder has since left badly, it may be very difficult to fix.</w:t>
      </w:r>
    </w:p>
    <w:p>
      <w:pPr>
        <w:keepNext/>
        <w:spacing w:after="40" w:before="140"/>
      </w:pPr>
      <w:r>
        <w:rPr>
          <w:rFonts w:ascii="Calibri" w:cs="Calibri" w:eastAsia="Calibri" w:hAnsi="Calibri"/>
          <w:b/>
          <w:bCs/>
          <w:color w:val="14161B"/>
          <w:sz w:val="20"/>
          <w:szCs w:val="20"/>
        </w:rPr>
        <w:t xml:space="preserve">Check who holds the trade marks</w:t>
      </w:r>
    </w:p>
    <w:p>
      <w:pPr>
        <w:spacing w:after="60" w:line="264"/>
        <w:jc w:val="both"/>
      </w:pPr>
      <w:r>
        <w:rPr>
          <w:rFonts w:ascii="Calibri" w:cs="Calibri" w:eastAsia="Calibri" w:hAnsi="Calibri"/>
          <w:sz w:val="19"/>
          <w:szCs w:val="19"/>
        </w:rPr>
        <w:t xml:space="preserve">Founders frequently register the brand and domains personally before incorporation and never transfer them. Easy to fix, easy to miss, and it becomes leverage if that founder is departing.</w:t>
      </w:r>
    </w:p>
    <w:p>
      <w:pPr>
        <w:keepNext/>
        <w:spacing w:after="40" w:before="140"/>
      </w:pPr>
      <w:r>
        <w:rPr>
          <w:rFonts w:ascii="Calibri" w:cs="Calibri" w:eastAsia="Calibri" w:hAnsi="Calibri"/>
          <w:b/>
          <w:bCs/>
          <w:color w:val="14161B"/>
          <w:sz w:val="20"/>
          <w:szCs w:val="20"/>
        </w:rPr>
        <w:t xml:space="preserve">Registered commercial agencies are close to permanent</w:t>
      </w:r>
    </w:p>
    <w:p>
      <w:pPr>
        <w:spacing w:after="60" w:line="264"/>
        <w:jc w:val="both"/>
      </w:pPr>
      <w:r>
        <w:rPr>
          <w:rFonts w:ascii="Calibri" w:cs="Calibri" w:eastAsia="Calibri" w:hAnsi="Calibri"/>
          <w:sz w:val="19"/>
          <w:szCs w:val="19"/>
        </w:rPr>
        <w:t xml:space="preserve">A registered agency gives the agent statutory exclusivity, constrained termination and compensation rights that a contract cannot displace, and the agent can block parallel imports. A target locked into one may be far less attractive than it appears, and this belongs in the first week of diligence.</w:t>
      </w:r>
    </w:p>
    <w:p>
      <w:pPr>
        <w:keepNext/>
        <w:spacing w:after="40" w:before="140"/>
      </w:pPr>
      <w:r>
        <w:rPr>
          <w:rFonts w:ascii="Calibri" w:cs="Calibri" w:eastAsia="Calibri" w:hAnsi="Calibri"/>
          <w:b/>
          <w:bCs/>
          <w:color w:val="14161B"/>
          <w:sz w:val="20"/>
          <w:szCs w:val="20"/>
        </w:rPr>
        <w:t xml:space="preserve">Ask about outstanding post-dated cheques</w:t>
      </w:r>
    </w:p>
    <w:p>
      <w:pPr>
        <w:spacing w:after="60" w:line="264"/>
        <w:jc w:val="both"/>
      </w:pPr>
      <w:r>
        <w:rPr>
          <w:rFonts w:ascii="Calibri" w:cs="Calibri" w:eastAsia="Calibri" w:hAnsi="Calibri"/>
          <w:sz w:val="19"/>
          <w:szCs w:val="19"/>
        </w:rPr>
        <w:t xml:space="preserve">Cheques issued for rent, supply or finance and not yet presented are a live liability that does not appear in the accounts as such. Ask for a schedule and confirm which remain outstanding.</w:t>
      </w:r>
    </w:p>
    <w:p>
      <w:pPr>
        <w:keepNext/>
        <w:spacing w:after="40" w:before="140"/>
      </w:pPr>
      <w:r>
        <w:rPr>
          <w:rFonts w:ascii="Calibri" w:cs="Calibri" w:eastAsia="Calibri" w:hAnsi="Calibri"/>
          <w:b/>
          <w:bCs/>
          <w:color w:val="14161B"/>
          <w:sz w:val="20"/>
          <w:szCs w:val="20"/>
        </w:rPr>
        <w:t xml:space="preserve">Live powers of attorney are a control risk</w:t>
      </w:r>
    </w:p>
    <w:p>
      <w:pPr>
        <w:spacing w:after="60" w:line="264"/>
        <w:jc w:val="both"/>
      </w:pPr>
      <w:r>
        <w:rPr>
          <w:rFonts w:ascii="Calibri" w:cs="Calibri" w:eastAsia="Calibri" w:hAnsi="Calibri"/>
          <w:sz w:val="19"/>
          <w:szCs w:val="19"/>
        </w:rPr>
        <w:t xml:space="preserve">A power granted years ago for one transaction, with copies at a bank and a government office, remains effective against a third party without notice of revocation. Ask what has been granted and what has been revoked.</w:t>
      </w:r>
    </w:p>
    <w:p>
      <w:pPr>
        <w:keepNext/>
        <w:spacing w:after="40" w:before="140"/>
      </w:pPr>
      <w:r>
        <w:rPr>
          <w:rFonts w:ascii="Calibri" w:cs="Calibri" w:eastAsia="Calibri" w:hAnsi="Calibri"/>
          <w:b/>
          <w:bCs/>
          <w:color w:val="14161B"/>
          <w:sz w:val="20"/>
          <w:szCs w:val="20"/>
        </w:rPr>
        <w:t xml:space="preserve">Map which data protection regime applies per entity</w:t>
      </w:r>
    </w:p>
    <w:p>
      <w:pPr>
        <w:spacing w:after="60" w:line="264"/>
        <w:jc w:val="both"/>
      </w:pPr>
      <w:r>
        <w:rPr>
          <w:rFonts w:ascii="Calibri" w:cs="Calibri" w:eastAsia="Calibri" w:hAnsi="Calibri"/>
          <w:sz w:val="19"/>
          <w:szCs w:val="19"/>
        </w:rPr>
        <w:t xml:space="preserve">Federal PDPL, DIFC or ADGM depends on where each entity is established, and a group can be running two regimes at once. Intra-group data flows between a DIFC entity and a mainland affiliate are restricted transfers requiring safeguards.</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requirements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Licensing, permit, WPS, Emiratisation, tax, UBO and data protection requirements all change and differ by emirate and free zone — have legal and tax diligence conducted by advisers for any material transaction, and use this list to scope rather than replace that work.</w:t>
      </w:r>
    </w:p>
    <w:sectPr>
      <w:footerReference w:type="default" r:id="rId13"/>
      <w:footerReference w:type="first" r:id="rId14"/>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2026-08-23T16:28:34.573Z</dcterms:created>
  <dcterms:modified xsi:type="dcterms:W3CDTF">2026-08-23T16:28:34.573Z</dcterms:modified>
</cp:coreProperties>
</file>

<file path=docProps/custom.xml><?xml version="1.0" encoding="utf-8"?>
<Properties xmlns="http://schemas.openxmlformats.org/officeDocument/2006/custom-properties" xmlns:vt="http://schemas.openxmlformats.org/officeDocument/2006/docPropsVTypes"/>
</file>