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DISCIPLINE AND GRIEVANCE</w:t>
      </w:r>
    </w:p>
    <w:p>
      <w:pPr>
        <w:spacing w:after="260"/>
        <w:jc w:val="center"/>
      </w:pPr>
      <w:r>
        <w:rPr>
          <w:rFonts w:ascii="Calibri" w:cs="Calibri" w:eastAsia="Calibri" w:hAnsi="Calibri"/>
          <w:i/>
          <w:iCs/>
          <w:color w:val="6E7480"/>
          <w:sz w:val="19"/>
          <w:szCs w:val="19"/>
        </w:rPr>
        <w:t xml:space="preserve">Investigation, penalties and complaints — UAE mainland</w:t>
      </w:r>
    </w:p>
    <w:p>
      <w:pPr>
        <w:spacing w:after="180" w:before="0" w:line="276"/>
        <w:jc w:val="both"/>
      </w:pPr>
      <w:r>
        <w:rPr>
          <w:rFonts w:ascii="Calibri" w:cs="Calibri" w:eastAsia="Calibri" w:hAnsi="Calibri"/>
          <w:i/>
          <w:iCs/>
          <w:color w:val="6E7480"/>
          <w:sz w:val="21"/>
          <w:szCs w:val="21"/>
        </w:rPr>
        <w:t xml:space="preserve">The single most important rule: </w:t>
      </w:r>
      <w:r>
        <w:rPr>
          <w:rFonts w:ascii="Calibri" w:cs="Calibri" w:eastAsia="Calibri" w:hAnsi="Calibri"/>
          <w:b/>
          <w:bCs/>
          <w:i/>
          <w:iCs/>
          <w:color w:val="6E7480"/>
          <w:sz w:val="21"/>
          <w:szCs w:val="21"/>
        </w:rPr>
        <w:t xml:space="preserve">the disciplinary penalties an employer may impose are a closed statutory list</w:t>
      </w:r>
      <w:r>
        <w:rPr>
          <w:rFonts w:ascii="Calibri" w:cs="Calibri" w:eastAsia="Calibri" w:hAnsi="Calibri"/>
          <w:i/>
          <w:iCs/>
          <w:color w:val="6E7480"/>
          <w:sz w:val="21"/>
          <w:szCs w:val="21"/>
        </w:rPr>
        <w:t xml:space="preserve">. Inventing a sanction — an unpaid suspension, a pay cut, a withheld allowance — creates a claim even where the misconduct was real and serious. Get the penalty right and the process right, in that order.</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6362"/>
      </w:tblGrid>
      <w:tr>
        <w:trPr>
          <w:cantSplit/>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3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Employer</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licence </w:t>
            </w:r>
            <w:r>
              <w:rPr>
                <w:rFonts w:ascii="Calibri" w:cs="Calibri" w:eastAsia="Calibri" w:hAnsi="Calibri"/>
                <w:b/>
                <w:bCs/>
                <w:sz w:val="19"/>
                <w:szCs w:val="19"/>
              </w:rPr>
              <w:t xml:space="preserve">[NUMBER]</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Jurisdiction</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[Mainland — Federal Decree-Law 33/2021]</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Applies to</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All employees</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Decision maker</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[ROLE]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Appeal to</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[ROLE — must not be the decision maker]</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Grievance contact</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[EMAIL]</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Records held by</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[ROLE]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Version and date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w:t>
            </w:r>
            <w:r>
              <w:rPr>
                <w:rFonts w:ascii="Calibri" w:cs="Calibri" w:eastAsia="Calibri" w:hAnsi="Calibri"/>
                <w:b/>
                <w:bCs/>
                <w:sz w:val="19"/>
                <w:szCs w:val="19"/>
              </w:rPr>
              <w:t xml:space="preserve">[DATE]</w:t>
            </w:r>
          </w:p>
        </w:tc>
      </w:tr>
    </w:tbl>
    <w:p>
      <w:pPr>
        <w:spacing w:after="180"/>
      </w:pPr>
    </w:p>
    <w:p>
      <w:pPr>
        <w:keepNext/>
        <w:spacing w:after="120" w:before="280"/>
        <w:outlineLvl w:val="0"/>
      </w:pPr>
      <w:r>
        <w:rPr>
          <w:rFonts w:ascii="Calibri" w:cs="Calibri" w:eastAsia="Calibri" w:hAnsi="Calibri"/>
          <w:b/>
          <w:bCs/>
          <w:color w:val="14161B"/>
          <w:sz w:val="22"/>
          <w:szCs w:val="22"/>
        </w:rPr>
        <w:t xml:space="preserve">1. PERMITTED PENALTIES</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The Law specifies the penalties an employer may impose. The Company will not impose any penalty outside that list.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698"/>
        <w:gridCol w:w="3276"/>
        <w:gridCol w:w="3664"/>
      </w:tblGrid>
      <w:tr>
        <w:trPr>
          <w:cantSplit/>
          <w:tblHeader/>
        </w:trPr>
        <w:tc>
          <w:tcPr>
            <w:tcW w:type="dxa" w:w="269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Penalty</w:t>
            </w:r>
          </w:p>
        </w:tc>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Use</w:t>
            </w:r>
          </w:p>
        </w:tc>
        <w:tc>
          <w:tcPr>
            <w:tcW w:type="dxa" w:w="366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Note</w:t>
            </w:r>
          </w:p>
        </w:tc>
      </w:tr>
      <w:tr>
        <w:trPr>
          <w:cantSplit/>
        </w:trP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Written warning</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First or minor matters</w:t>
            </w:r>
          </w:p>
        </w:tc>
        <w:tc>
          <w:tcPr>
            <w:tcW w:type="dxa" w:w="366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Most matters resolve here</w:t>
            </w:r>
          </w:p>
        </w:tc>
      </w:tr>
      <w:tr>
        <w:trPr>
          <w:cantSplit/>
        </w:trP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Further written warning</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Repetition, or a more serious first matter</w:t>
            </w:r>
          </w:p>
        </w:tc>
        <w:tc>
          <w:tcPr>
            <w:tcW w:type="dxa" w:w="366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State clearly that it is a further warning</w:t>
            </w:r>
          </w:p>
        </w:tc>
      </w:tr>
      <w:tr>
        <w:trPr>
          <w:cantSplit/>
        </w:trP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Deduction from wages</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Where the Law permits, within the statutory limit</w:t>
            </w:r>
          </w:p>
        </w:tc>
        <w:tc>
          <w:tcPr>
            <w:tcW w:type="dxa" w:w="366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Strictly limited</w:t>
            </w:r>
            <w:r>
              <w:rPr>
                <w:rFonts w:ascii="Calibri" w:cs="Calibri" w:eastAsia="Calibri" w:hAnsi="Calibri"/>
                <w:sz w:val="17"/>
                <w:szCs w:val="17"/>
              </w:rPr>
              <w:t xml:space="preserve"> — check the permitted proportion and duration</w:t>
            </w:r>
          </w:p>
        </w:tc>
      </w:tr>
      <w:tr>
        <w:trPr>
          <w:cantSplit/>
        </w:trP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Suspension from work with reduced pay</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Where the Law permits, for a limited period</w:t>
            </w:r>
          </w:p>
        </w:tc>
        <w:tc>
          <w:tcPr>
            <w:tcW w:type="dxa" w:w="366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Confirm the permitted period and pay level</w:t>
            </w:r>
          </w:p>
        </w:tc>
      </w:tr>
      <w:tr>
        <w:trPr>
          <w:cantSplit/>
        </w:trP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Withholding or deferring a periodic increment</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Where the Company operates one</w:t>
            </w:r>
          </w:p>
        </w:tc>
        <w:tc>
          <w:tcPr>
            <w:tcW w:type="dxa" w:w="366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Only where an increment scheme exists</w:t>
            </w:r>
          </w:p>
        </w:tc>
      </w:tr>
      <w:tr>
        <w:trPr>
          <w:cantSplit/>
        </w:trP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Withholding promotion</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Where the Company operates a promotion scheme</w:t>
            </w:r>
          </w:p>
        </w:tc>
        <w:tc>
          <w:tcPr>
            <w:tcW w:type="dxa" w:w="3664"/>
            <w:tcMar>
              <w:top w:type="dxa" w:w="70"/>
              <w:left w:type="dxa" w:w="100"/>
              <w:bottom w:type="dxa" w:w="70"/>
              <w:right w:type="dxa" w:w="100"/>
            </w:tcMar>
            <w:vAlign w:val="center"/>
          </w:tcPr>
          <w:p>
            <w:pPr>
              <w:spacing w:after="0" w:line="240"/>
              <w:jc w:val="left"/>
            </w:pPr>
          </w:p>
        </w:tc>
      </w:tr>
      <w:tr>
        <w:trPr>
          <w:cantSplit/>
        </w:trP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Dismissal with notice and gratuity preserved</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Serious or repeated matters</w:t>
            </w:r>
          </w:p>
        </w:tc>
        <w:tc>
          <w:tcPr>
            <w:tcW w:type="dxa" w:w="366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The employee keeps their entitlements</w:t>
            </w:r>
          </w:p>
        </w:tc>
      </w:tr>
      <w:tr>
        <w:trPr>
          <w:cantSplit/>
        </w:trP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Dismissal without notice</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Only on a statutory ground</w:t>
            </w:r>
          </w:p>
        </w:tc>
        <w:tc>
          <w:tcPr>
            <w:tcW w:type="dxa" w:w="366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Requires the ground </w:t>
            </w:r>
            <w:r>
              <w:rPr>
                <w:rFonts w:ascii="Calibri" w:cs="Calibri" w:eastAsia="Calibri" w:hAnsi="Calibri"/>
                <w:b/>
                <w:bCs/>
                <w:sz w:val="17"/>
                <w:szCs w:val="17"/>
              </w:rPr>
              <w:t xml:space="preserve">and</w:t>
            </w:r>
            <w:r>
              <w:rPr>
                <w:rFonts w:ascii="Calibri" w:cs="Calibri" w:eastAsia="Calibri" w:hAnsi="Calibri"/>
                <w:sz w:val="17"/>
                <w:szCs w:val="17"/>
              </w:rPr>
              <w:t xml:space="preserve"> the process — see Section 4</w:t>
            </w:r>
          </w:p>
        </w:tc>
      </w:tr>
    </w:tbl>
    <w:p>
      <w:pPr>
        <w:spacing w:after="140"/>
      </w:pP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b/>
          <w:bCs/>
          <w:sz w:val="21"/>
          <w:szCs w:val="21"/>
        </w:rPr>
        <w:t xml:space="preserve">Not permitted</w:t>
      </w:r>
      <w:r>
        <w:rPr>
          <w:rFonts w:ascii="Calibri" w:cs="Calibri" w:eastAsia="Calibri" w:hAnsi="Calibri"/>
          <w:sz w:val="21"/>
          <w:szCs w:val="21"/>
        </w:rPr>
        <w:t xml:space="preserve">, however tempting: unpaid suspension outside the statutory framework, cutting salary as a sanction, withholding an allowance already contractually due, withholding gratuity outside the statutory grounds, demotion without consent, or transferring an employee punitively.</w:t>
      </w:r>
    </w:p>
    <w:p>
      <w:pPr>
        <w:spacing w:after="120" w:before="60" w:line="276"/>
        <w:ind w:left="720" w:hanging="720"/>
        <w:jc w:val="both"/>
      </w:pPr>
      <w:r>
        <w:rPr>
          <w:rFonts w:ascii="Calibri" w:cs="Calibri" w:eastAsia="Calibri" w:hAnsi="Calibri"/>
          <w:sz w:val="21"/>
          <w:szCs w:val="21"/>
        </w:rPr>
        <w:t xml:space="preserve">1.3	</w:t>
      </w:r>
      <w:r>
        <w:rPr>
          <w:rFonts w:ascii="Calibri" w:cs="Calibri" w:eastAsia="Calibri" w:hAnsi="Calibri"/>
          <w:sz w:val="21"/>
          <w:szCs w:val="21"/>
        </w:rPr>
        <w:t xml:space="preserve">More than one penalty may not be imposed for the same act.</w:t>
      </w:r>
    </w:p>
    <w:p>
      <w:pPr>
        <w:spacing w:after="120" w:before="60" w:line="276"/>
        <w:ind w:left="720" w:hanging="720"/>
        <w:jc w:val="both"/>
      </w:pPr>
      <w:r>
        <w:rPr>
          <w:rFonts w:ascii="Calibri" w:cs="Calibri" w:eastAsia="Calibri" w:hAnsi="Calibri"/>
          <w:sz w:val="21"/>
          <w:szCs w:val="21"/>
        </w:rPr>
        <w:t xml:space="preserve">1.4	</w:t>
      </w:r>
      <w:r>
        <w:rPr>
          <w:rFonts w:ascii="Calibri" w:cs="Calibri" w:eastAsia="Calibri" w:hAnsi="Calibri"/>
          <w:sz w:val="21"/>
          <w:szCs w:val="21"/>
        </w:rPr>
        <w:t xml:space="preserve">A penalty may not be imposed for an act discovered outside the period the Law allows, nor after the period for imposing it has passed. </w:t>
      </w:r>
      <w:r>
        <w:rPr>
          <w:rFonts w:ascii="Calibri" w:cs="Calibri" w:eastAsia="Calibri" w:hAnsi="Calibri"/>
          <w:i/>
          <w:iCs/>
          <w:sz w:val="21"/>
          <w:szCs w:val="21"/>
        </w:rPr>
        <w:t xml:space="preserve">Confirm the current periods — delay alone can invalidate an otherwise sound decision.</w:t>
      </w:r>
    </w:p>
    <w:p>
      <w:pPr>
        <w:keepNext/>
        <w:spacing w:after="120" w:before="280"/>
        <w:outlineLvl w:val="0"/>
      </w:pPr>
      <w:r>
        <w:rPr>
          <w:rFonts w:ascii="Calibri" w:cs="Calibri" w:eastAsia="Calibri" w:hAnsi="Calibri"/>
          <w:b/>
          <w:bCs/>
          <w:color w:val="14161B"/>
          <w:sz w:val="22"/>
          <w:szCs w:val="22"/>
        </w:rPr>
        <w:t xml:space="preserve">2. INVESTIGATION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4047"/>
        <w:gridCol w:w="3662"/>
        <w:gridCol w:w="1544"/>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404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Step</w:t>
            </w:r>
          </w:p>
        </w:tc>
        <w:tc>
          <w:tcPr>
            <w:tcW w:type="dxa" w:w="36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Note</w:t>
            </w:r>
          </w:p>
        </w:tc>
        <w:tc>
          <w:tcPr>
            <w:tcW w:type="dxa" w:w="154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Done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Concern recorded in writing with dates and sources</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Before anything is said to the employee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Decide whether this is a disciplinary matter or a performance one</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Different routes</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Appoint an investigator not involved in the events</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Fairness begins here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Gather documents, records and any system evidence</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Preserve, do not edit</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Interview witnesses and record what they say</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Signed or acknowledged notes</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Put the allegation to the employee in writing</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Specific: what, when, and the evidence relied on</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Give the employee a genuine opportunity to respond</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 their own language where needed</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Record the response in full</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Their words, not a summary of them</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Consider the response before deciding</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 after</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Decide, choosing a penalty from the permitted list</w:t>
            </w:r>
          </w:p>
        </w:tc>
        <w:tc>
          <w:tcPr>
            <w:tcW w:type="dxa" w:w="3662"/>
            <w:tcMar>
              <w:top w:type="dxa" w:w="70"/>
              <w:left w:type="dxa" w:w="100"/>
              <w:bottom w:type="dxa" w:w="70"/>
              <w:right w:type="dxa" w:w="100"/>
            </w:tcMar>
            <w:vAlign w:val="center"/>
          </w:tcPr>
          <w:p>
            <w:pPr>
              <w:spacing w:after="0" w:line="240"/>
              <w:jc w:val="left"/>
            </w:pP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11</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Notify the employee in writing with reasons</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And the right of appeal</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12</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Retain the complete file</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Investigation, response, decision, notification</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bl>
    <w:p>
      <w:pPr>
        <w:spacing w:after="140"/>
      </w:pP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i/>
          <w:iCs/>
          <w:sz w:val="21"/>
          <w:szCs w:val="21"/>
        </w:rPr>
        <w:t xml:space="preserve">Step 9 is where employers lose otherwise defensible cases. A decision drafted before the employee’s response is read is not a process; it is a formality, and it shows.</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Where the employee’s command of English is limited, the allegation and the meeting should be in a language they understand, or an interpreter provided. Record that this was done.</w:t>
      </w:r>
    </w:p>
    <w:p>
      <w:pPr>
        <w:keepNext/>
        <w:spacing w:after="120" w:before="280"/>
        <w:outlineLvl w:val="0"/>
      </w:pPr>
      <w:r>
        <w:rPr>
          <w:rFonts w:ascii="Calibri" w:cs="Calibri" w:eastAsia="Calibri" w:hAnsi="Calibri"/>
          <w:b/>
          <w:bCs/>
          <w:color w:val="14161B"/>
          <w:sz w:val="22"/>
          <w:szCs w:val="22"/>
        </w:rPr>
        <w:t xml:space="preserve">3. SUSPENSION PENDING INVESTIGATION</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Where necessary to investigate, the Company may suspend an employee </w:t>
      </w:r>
      <w:r>
        <w:rPr>
          <w:rFonts w:ascii="Calibri" w:cs="Calibri" w:eastAsia="Calibri" w:hAnsi="Calibri"/>
          <w:b/>
          <w:bCs/>
          <w:sz w:val="21"/>
          <w:szCs w:val="21"/>
        </w:rPr>
        <w:t xml:space="preserve">on the terms the Law permits</w:t>
      </w:r>
      <w:r>
        <w:rPr>
          <w:rFonts w:ascii="Calibri" w:cs="Calibri" w:eastAsia="Calibri" w:hAnsi="Calibri"/>
          <w:sz w:val="21"/>
          <w:szCs w:val="21"/>
        </w:rPr>
        <w:t xml:space="preserve">, for the permitted period and at the permitted level of pay.</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Suspension is </w:t>
      </w:r>
      <w:r>
        <w:rPr>
          <w:rFonts w:ascii="Calibri" w:cs="Calibri" w:eastAsia="Calibri" w:hAnsi="Calibri"/>
          <w:b/>
          <w:bCs/>
          <w:sz w:val="21"/>
          <w:szCs w:val="21"/>
        </w:rPr>
        <w:t xml:space="preserve">not a penalty</w:t>
      </w:r>
      <w:r>
        <w:rPr>
          <w:rFonts w:ascii="Calibri" w:cs="Calibri" w:eastAsia="Calibri" w:hAnsi="Calibri"/>
          <w:sz w:val="21"/>
          <w:szCs w:val="21"/>
        </w:rPr>
        <w:t xml:space="preserve"> and must not be presented as one.</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Where the investigation clears the employee, any pay withheld during suspension is restored.</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i/>
          <w:iCs/>
          <w:sz w:val="21"/>
          <w:szCs w:val="21"/>
        </w:rPr>
        <w:t xml:space="preserve">Confirm the permitted maximum period and pay level before suspending. Suspending indefinitely, or without pay, outside the statutory framework converts a precaution into an unlawful penalty.</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4. DISMISSAL WITHOUT NOTICE</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Termination without notice is available </w:t>
      </w:r>
      <w:r>
        <w:rPr>
          <w:rFonts w:ascii="Calibri" w:cs="Calibri" w:eastAsia="Calibri" w:hAnsi="Calibri"/>
          <w:b/>
          <w:bCs/>
          <w:sz w:val="21"/>
          <w:szCs w:val="21"/>
        </w:rPr>
        <w:t xml:space="preserve">only</w:t>
      </w:r>
      <w:r>
        <w:rPr>
          <w:rFonts w:ascii="Calibri" w:cs="Calibri" w:eastAsia="Calibri" w:hAnsi="Calibri"/>
          <w:sz w:val="21"/>
          <w:szCs w:val="21"/>
        </w:rPr>
        <w:t xml:space="preserve"> on a ground the Law specifies, and </w:t>
      </w:r>
      <w:r>
        <w:rPr>
          <w:rFonts w:ascii="Calibri" w:cs="Calibri" w:eastAsia="Calibri" w:hAnsi="Calibri"/>
          <w:b/>
          <w:bCs/>
          <w:sz w:val="21"/>
          <w:szCs w:val="21"/>
        </w:rPr>
        <w:t xml:space="preserve">only</w:t>
      </w:r>
      <w:r>
        <w:rPr>
          <w:rFonts w:ascii="Calibri" w:cs="Calibri" w:eastAsia="Calibri" w:hAnsi="Calibri"/>
          <w:sz w:val="21"/>
          <w:szCs w:val="21"/>
        </w:rPr>
        <w:t xml:space="preserve"> after an investigation in which the employee was given the opportunity to respond.</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The statutory grounds include matters such as adopting a false identity or submitting forged documents, causing substantial material loss or deliberate damage, breaching safety instructions, failing to perform fundamental duties after written warning, disclosing work secrets, conviction of a serious offence, attending intoxicated, assault at work, and unexcused absence beyond the permitted periods. </w:t>
      </w:r>
      <w:r>
        <w:rPr>
          <w:rFonts w:ascii="Calibri" w:cs="Calibri" w:eastAsia="Calibri" w:hAnsi="Calibri"/>
          <w:i/>
          <w:iCs/>
          <w:sz w:val="21"/>
          <w:szCs w:val="21"/>
        </w:rPr>
        <w:t xml:space="preserve">Confirm the current list and its exact terms before relying on it.</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sz w:val="21"/>
          <w:szCs w:val="21"/>
        </w:rPr>
        <w:t xml:space="preserve">The employee must be notified in writing of the decision and the reason.</w:t>
      </w:r>
    </w:p>
    <w:p>
      <w:pPr>
        <w:spacing w:after="120" w:before="60" w:line="276"/>
        <w:ind w:left="720" w:hanging="720"/>
        <w:jc w:val="both"/>
      </w:pPr>
      <w:r>
        <w:rPr>
          <w:rFonts w:ascii="Calibri" w:cs="Calibri" w:eastAsia="Calibri" w:hAnsi="Calibri"/>
          <w:sz w:val="21"/>
          <w:szCs w:val="21"/>
        </w:rPr>
        <w:t xml:space="preserve">4.4	</w:t>
      </w:r>
      <w:r>
        <w:rPr>
          <w:rFonts w:ascii="Calibri" w:cs="Calibri" w:eastAsia="Calibri" w:hAnsi="Calibri"/>
          <w:sz w:val="21"/>
          <w:szCs w:val="21"/>
        </w:rPr>
        <w:t xml:space="preserve">Where the ground or the process fails, the dismissal may be found unlawful and the employee may be entitled to compensation in addition to their other entitlements.</w:t>
      </w:r>
    </w:p>
    <w:p>
      <w:pPr>
        <w:spacing w:after="120" w:before="60" w:line="276"/>
        <w:ind w:left="720" w:hanging="720"/>
        <w:jc w:val="both"/>
      </w:pPr>
      <w:r>
        <w:rPr>
          <w:rFonts w:ascii="Calibri" w:cs="Calibri" w:eastAsia="Calibri" w:hAnsi="Calibri"/>
          <w:sz w:val="21"/>
          <w:szCs w:val="21"/>
        </w:rPr>
        <w:t xml:space="preserve">4.5	</w:t>
      </w:r>
      <w:r>
        <w:rPr>
          <w:rFonts w:ascii="Calibri" w:cs="Calibri" w:eastAsia="Calibri" w:hAnsi="Calibri"/>
          <w:b/>
          <w:bCs/>
          <w:sz w:val="21"/>
          <w:szCs w:val="21"/>
        </w:rPr>
        <w:t xml:space="preserve">Entitlements remain payable within 14 days</w:t>
      </w:r>
      <w:r>
        <w:rPr>
          <w:rFonts w:ascii="Calibri" w:cs="Calibri" w:eastAsia="Calibri" w:hAnsi="Calibri"/>
          <w:sz w:val="21"/>
          <w:szCs w:val="21"/>
        </w:rPr>
        <w:t xml:space="preserve"> of the last working day, save to the extent the Law permits forfeiture.</w:t>
      </w:r>
    </w:p>
    <w:p>
      <w:pPr>
        <w:keepNext/>
        <w:spacing w:after="120" w:before="280"/>
        <w:outlineLvl w:val="0"/>
      </w:pPr>
      <w:r>
        <w:rPr>
          <w:rFonts w:ascii="Calibri" w:cs="Calibri" w:eastAsia="Calibri" w:hAnsi="Calibri"/>
          <w:b/>
          <w:bCs/>
          <w:color w:val="14161B"/>
          <w:sz w:val="22"/>
          <w:szCs w:val="22"/>
        </w:rPr>
        <w:t xml:space="preserve">5. ARBITRARY DISMISSAL</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Dismissal for an unlawful reason — including because the employee filed a legitimate complaint against the employer, or pursued a lawful claim — may amount to </w:t>
      </w:r>
      <w:r>
        <w:rPr>
          <w:rFonts w:ascii="Calibri" w:cs="Calibri" w:eastAsia="Calibri" w:hAnsi="Calibri"/>
          <w:b/>
          <w:bCs/>
          <w:sz w:val="21"/>
          <w:szCs w:val="21"/>
        </w:rPr>
        <w:t xml:space="preserve">arbitrary dismissal</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Compensation of up to </w:t>
      </w:r>
      <w:r>
        <w:rPr>
          <w:rFonts w:ascii="Calibri" w:cs="Calibri" w:eastAsia="Calibri" w:hAnsi="Calibri"/>
          <w:b/>
          <w:bCs/>
          <w:sz w:val="21"/>
          <w:szCs w:val="21"/>
        </w:rPr>
        <w:t xml:space="preserve">three months’ salary</w:t>
      </w:r>
      <w:r>
        <w:rPr>
          <w:rFonts w:ascii="Calibri" w:cs="Calibri" w:eastAsia="Calibri" w:hAnsi="Calibri"/>
          <w:sz w:val="21"/>
          <w:szCs w:val="21"/>
        </w:rPr>
        <w:t xml:space="preserve"> may be awarded, in addition to notice, gratuity and other entitlements.</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i/>
          <w:iCs/>
          <w:sz w:val="21"/>
          <w:szCs w:val="21"/>
        </w:rPr>
        <w:t xml:space="preserve">Document the genuine reason for every termination at the time, with the supporting record. A reason constructed afterwards is visible for what it is.</w:t>
      </w:r>
    </w:p>
    <w:p>
      <w:pPr>
        <w:keepNext/>
        <w:spacing w:after="120" w:before="280"/>
        <w:outlineLvl w:val="0"/>
      </w:pPr>
      <w:r>
        <w:rPr>
          <w:rFonts w:ascii="Calibri" w:cs="Calibri" w:eastAsia="Calibri" w:hAnsi="Calibri"/>
          <w:b/>
          <w:bCs/>
          <w:color w:val="14161B"/>
          <w:sz w:val="22"/>
          <w:szCs w:val="22"/>
        </w:rPr>
        <w:t xml:space="preserve">6. GRIEVANCES</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An employee may raise a concern with their manager, or with </w:t>
      </w:r>
      <w:r>
        <w:rPr>
          <w:rFonts w:ascii="Calibri" w:cs="Calibri" w:eastAsia="Calibri" w:hAnsi="Calibri"/>
          <w:b/>
          <w:bCs/>
          <w:sz w:val="21"/>
          <w:szCs w:val="21"/>
        </w:rPr>
        <w:t xml:space="preserve">[ROLE]</w:t>
      </w:r>
      <w:r>
        <w:rPr>
          <w:rFonts w:ascii="Calibri" w:cs="Calibri" w:eastAsia="Calibri" w:hAnsi="Calibri"/>
          <w:sz w:val="21"/>
          <w:szCs w:val="21"/>
        </w:rPr>
        <w:t xml:space="preserve"> where that is not appropriate.</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Concerns are acknowledged within </w:t>
      </w:r>
      <w:r>
        <w:rPr>
          <w:rFonts w:ascii="Calibri" w:cs="Calibri" w:eastAsia="Calibri" w:hAnsi="Calibri"/>
          <w:b/>
          <w:bCs/>
          <w:sz w:val="21"/>
          <w:szCs w:val="21"/>
        </w:rPr>
        <w:t xml:space="preserve">[3]</w:t>
      </w:r>
      <w:r>
        <w:rPr>
          <w:rFonts w:ascii="Calibri" w:cs="Calibri" w:eastAsia="Calibri" w:hAnsi="Calibri"/>
          <w:b/>
          <w:bCs/>
          <w:sz w:val="21"/>
          <w:szCs w:val="21"/>
        </w:rPr>
        <w:t xml:space="preserve"> working days</w:t>
      </w:r>
      <w:r>
        <w:rPr>
          <w:rFonts w:ascii="Calibri" w:cs="Calibri" w:eastAsia="Calibri" w:hAnsi="Calibri"/>
          <w:sz w:val="21"/>
          <w:szCs w:val="21"/>
        </w:rPr>
        <w:t xml:space="preserve">, investigated fairly, and answered in writing.</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sz w:val="21"/>
          <w:szCs w:val="21"/>
        </w:rPr>
        <w:t xml:space="preserve">The employee may be accompanied by a colleague at any meeting.</w:t>
      </w:r>
    </w:p>
    <w:p>
      <w:pPr>
        <w:spacing w:after="120" w:before="60" w:line="276"/>
        <w:ind w:left="720" w:hanging="720"/>
        <w:jc w:val="both"/>
      </w:pPr>
      <w:r>
        <w:rPr>
          <w:rFonts w:ascii="Calibri" w:cs="Calibri" w:eastAsia="Calibri" w:hAnsi="Calibri"/>
          <w:sz w:val="21"/>
          <w:szCs w:val="21"/>
        </w:rPr>
        <w:t xml:space="preserve">6.4	</w:t>
      </w:r>
      <w:r>
        <w:rPr>
          <w:rFonts w:ascii="Calibri" w:cs="Calibri" w:eastAsia="Calibri" w:hAnsi="Calibri"/>
          <w:sz w:val="21"/>
          <w:szCs w:val="21"/>
        </w:rPr>
        <w:t xml:space="preserve">Where the concern involves harassment or discrimination, it will be treated confidentially and the complainant protected from retaliation.</w:t>
      </w:r>
    </w:p>
    <w:p>
      <w:pPr>
        <w:spacing w:after="120" w:before="60" w:line="276"/>
        <w:ind w:left="720" w:hanging="720"/>
        <w:jc w:val="both"/>
      </w:pPr>
      <w:r>
        <w:rPr>
          <w:rFonts w:ascii="Calibri" w:cs="Calibri" w:eastAsia="Calibri" w:hAnsi="Calibri"/>
          <w:sz w:val="21"/>
          <w:szCs w:val="21"/>
        </w:rPr>
        <w:t xml:space="preserve">6.5	</w:t>
      </w:r>
      <w:r>
        <w:rPr>
          <w:rFonts w:ascii="Calibri" w:cs="Calibri" w:eastAsia="Calibri" w:hAnsi="Calibri"/>
          <w:b/>
          <w:bCs/>
          <w:sz w:val="21"/>
          <w:szCs w:val="21"/>
        </w:rPr>
        <w:t xml:space="preserve">The Company will not retaliate against an employee for raising a genuine concern.</w:t>
      </w:r>
    </w:p>
    <w:p>
      <w:pPr>
        <w:spacing w:after="120" w:before="60" w:line="276"/>
        <w:ind w:left="720" w:hanging="720"/>
        <w:jc w:val="both"/>
      </w:pPr>
      <w:r>
        <w:rPr>
          <w:rFonts w:ascii="Calibri" w:cs="Calibri" w:eastAsia="Calibri" w:hAnsi="Calibri"/>
          <w:sz w:val="21"/>
          <w:szCs w:val="21"/>
        </w:rPr>
        <w:t xml:space="preserve">6.6	</w:t>
      </w:r>
      <w:r>
        <w:rPr>
          <w:rFonts w:ascii="Calibri" w:cs="Calibri" w:eastAsia="Calibri" w:hAnsi="Calibri"/>
          <w:sz w:val="21"/>
          <w:szCs w:val="21"/>
        </w:rPr>
        <w:t xml:space="preserve">An unresolved employment dispute may be referred to </w:t>
      </w:r>
      <w:r>
        <w:rPr>
          <w:rFonts w:ascii="Calibri" w:cs="Calibri" w:eastAsia="Calibri" w:hAnsi="Calibri"/>
          <w:b/>
          <w:bCs/>
          <w:sz w:val="21"/>
          <w:szCs w:val="21"/>
        </w:rPr>
        <w:t xml:space="preserve">MOHRE</w:t>
      </w:r>
      <w:r>
        <w:rPr>
          <w:rFonts w:ascii="Calibri" w:cs="Calibri" w:eastAsia="Calibri" w:hAnsi="Calibri"/>
          <w:sz w:val="21"/>
          <w:szCs w:val="21"/>
        </w:rPr>
        <w:t xml:space="preserve">, which handles the matter before any court proceedings.</w:t>
      </w:r>
    </w:p>
    <w:p>
      <w:pPr>
        <w:keepNext/>
        <w:spacing w:after="120" w:before="280"/>
        <w:outlineLvl w:val="0"/>
      </w:pPr>
      <w:r>
        <w:rPr>
          <w:rFonts w:ascii="Calibri" w:cs="Calibri" w:eastAsia="Calibri" w:hAnsi="Calibri"/>
          <w:b/>
          <w:bCs/>
          <w:color w:val="14161B"/>
          <w:sz w:val="22"/>
          <w:szCs w:val="22"/>
        </w:rPr>
        <w:t xml:space="preserve">7. RECORDS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5"/>
        <w:gridCol w:w="5783"/>
      </w:tblGrid>
      <w:tr>
        <w:trPr>
          <w:cantSplit/>
          <w:tblHeader/>
        </w:trPr>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Record</w:t>
            </w:r>
          </w:p>
        </w:tc>
        <w:tc>
          <w:tcPr>
            <w:tcW w:type="dxa" w:w="578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Retain</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Investigation notes and evidence</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For the retention period, and beyond where a claim is possible</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The employee’s written response</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Always — it is the proof the process was followed</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Decision and reasons</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Always</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Warnings issued</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 the personnel file</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Appeal outcome</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Always</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Grievance records</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Confidentially, separately where sensitive</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Interpretation or translation arranged</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Note it in the file</w:t>
            </w:r>
          </w:p>
        </w:tc>
      </w:tr>
    </w:tbl>
    <w:p>
      <w:pPr>
        <w:spacing w:after="180"/>
      </w:pPr>
    </w:p>
    <w:p>
      <w:pPr>
        <w:spacing w:after="160" w:before="0" w:line="276"/>
        <w:jc w:val="both"/>
      </w:pPr>
      <w:r>
        <w:rPr>
          <w:rFonts w:ascii="Calibri" w:cs="Calibri" w:eastAsia="Calibri" w:hAnsi="Calibri"/>
          <w:b/>
          <w:bCs/>
          <w:sz w:val="21"/>
          <w:szCs w:val="21"/>
        </w:rPr>
        <w:t xml:space="preserve">Acknowledgement.</w:t>
      </w:r>
      <w:r>
        <w:rPr>
          <w:rFonts w:ascii="Calibri" w:cs="Calibri" w:eastAsia="Calibri" w:hAnsi="Calibri"/>
          <w:sz w:val="21"/>
          <w:szCs w:val="21"/>
        </w:rPr>
        <w:t xml:space="preserve"> I confirm that I have received a copy of this procedure.</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[EMPLOYEE 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For </w:t>
            </w:r>
            <w:r>
              <w:rPr>
                <w:rFonts w:ascii="Calibri" w:cs="Calibri" w:eastAsia="Calibri" w:hAnsi="Calibri"/>
                <w:b/>
                <w:bCs/>
                <w:sz w:val="21"/>
                <w:szCs w:val="21"/>
              </w:rPr>
              <w:t xml:space="preserve">[COMPANY 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The permitted penalties are a closed list</w:t>
      </w:r>
    </w:p>
    <w:p>
      <w:pPr>
        <w:spacing w:after="60" w:line="264"/>
        <w:jc w:val="both"/>
      </w:pPr>
      <w:r>
        <w:rPr>
          <w:rFonts w:ascii="Calibri" w:cs="Calibri" w:eastAsia="Calibri" w:hAnsi="Calibri"/>
          <w:sz w:val="19"/>
          <w:szCs w:val="19"/>
        </w:rPr>
        <w:t xml:space="preserve">The Law specifies what an employer may impose. An unpaid suspension outside the statutory framework, a salary cut as punishment, a withheld contractual allowance or a punitive demotion are not on it. Imposing one creates a claim even where the underlying misconduct was genuine and serious — the employer loses on the sanction rather than the facts.</w:t>
      </w:r>
    </w:p>
    <w:p>
      <w:pPr>
        <w:keepNext/>
        <w:spacing w:after="40" w:before="140"/>
      </w:pPr>
      <w:r>
        <w:rPr>
          <w:rFonts w:ascii="Calibri" w:cs="Calibri" w:eastAsia="Calibri" w:hAnsi="Calibri"/>
          <w:b/>
          <w:bCs/>
          <w:color w:val="14161B"/>
          <w:sz w:val="20"/>
          <w:szCs w:val="20"/>
        </w:rPr>
        <w:t xml:space="preserve">Process failures cost more than getting the facts wrong</w:t>
      </w:r>
    </w:p>
    <w:p>
      <w:pPr>
        <w:spacing w:after="60" w:line="264"/>
        <w:jc w:val="both"/>
      </w:pPr>
      <w:r>
        <w:rPr>
          <w:rFonts w:ascii="Calibri" w:cs="Calibri" w:eastAsia="Calibri" w:hAnsi="Calibri"/>
          <w:sz w:val="19"/>
          <w:szCs w:val="19"/>
        </w:rPr>
        <w:t xml:space="preserve">Summary dismissal requires both a statutory ground and a proper investigation in which the employee was told the allegation and given a real chance to answer. Employers treat obvious misconduct as self-evidently justifying immediate dismissal and skip the process, converting a defensible decision into a claim.</w:t>
      </w:r>
    </w:p>
    <w:p>
      <w:pPr>
        <w:keepNext/>
        <w:spacing w:after="40" w:before="140"/>
      </w:pPr>
      <w:r>
        <w:rPr>
          <w:rFonts w:ascii="Calibri" w:cs="Calibri" w:eastAsia="Calibri" w:hAnsi="Calibri"/>
          <w:b/>
          <w:bCs/>
          <w:color w:val="14161B"/>
          <w:sz w:val="20"/>
          <w:szCs w:val="20"/>
        </w:rPr>
        <w:t xml:space="preserve">Read the response before deciding</w:t>
      </w:r>
    </w:p>
    <w:p>
      <w:pPr>
        <w:spacing w:after="60" w:line="264"/>
        <w:jc w:val="both"/>
      </w:pPr>
      <w:r>
        <w:rPr>
          <w:rFonts w:ascii="Calibri" w:cs="Calibri" w:eastAsia="Calibri" w:hAnsi="Calibri"/>
          <w:sz w:val="19"/>
          <w:szCs w:val="19"/>
        </w:rPr>
        <w:t xml:space="preserve">A decision letter drafted before the employee’s answer has been considered is a formality, not a process, and it shows in the sequence of documents. This is where otherwise sound cases fail.</w:t>
      </w:r>
    </w:p>
    <w:p>
      <w:pPr>
        <w:keepNext/>
        <w:spacing w:after="40" w:before="140"/>
      </w:pPr>
      <w:r>
        <w:rPr>
          <w:rFonts w:ascii="Calibri" w:cs="Calibri" w:eastAsia="Calibri" w:hAnsi="Calibri"/>
          <w:b/>
          <w:bCs/>
          <w:color w:val="14161B"/>
          <w:sz w:val="20"/>
          <w:szCs w:val="20"/>
        </w:rPr>
        <w:t xml:space="preserve">Language matters and is checkable</w:t>
      </w:r>
    </w:p>
    <w:p>
      <w:pPr>
        <w:spacing w:after="60" w:line="264"/>
        <w:jc w:val="both"/>
      </w:pPr>
      <w:r>
        <w:rPr>
          <w:rFonts w:ascii="Calibri" w:cs="Calibri" w:eastAsia="Calibri" w:hAnsi="Calibri"/>
          <w:sz w:val="19"/>
          <w:szCs w:val="19"/>
        </w:rPr>
        <w:t xml:space="preserve">Where an employee’s English is limited, put the allegation and conduct the meeting in a language they understand or provide an interpreter, and record that you did. A process the employee could not follow is not a process, and the file will be examined on this point.</w:t>
      </w:r>
    </w:p>
    <w:p>
      <w:pPr>
        <w:keepNext/>
        <w:spacing w:after="40" w:before="140"/>
      </w:pPr>
      <w:r>
        <w:rPr>
          <w:rFonts w:ascii="Calibri" w:cs="Calibri" w:eastAsia="Calibri" w:hAnsi="Calibri"/>
          <w:b/>
          <w:bCs/>
          <w:color w:val="14161B"/>
          <w:sz w:val="20"/>
          <w:szCs w:val="20"/>
        </w:rPr>
        <w:t xml:space="preserve">Suspension is a precaution, not a penalty</w:t>
      </w:r>
    </w:p>
    <w:p>
      <w:pPr>
        <w:spacing w:after="60" w:line="264"/>
        <w:jc w:val="both"/>
      </w:pPr>
      <w:r>
        <w:rPr>
          <w:rFonts w:ascii="Calibri" w:cs="Calibri" w:eastAsia="Calibri" w:hAnsi="Calibri"/>
          <w:sz w:val="19"/>
          <w:szCs w:val="19"/>
        </w:rPr>
        <w:t xml:space="preserve">Suspension pending investigation is permitted on defined terms as to period and pay. Presenting it as a sanction, extending it indefinitely, or making it unpaid outside the framework converts a legitimate step into an unlawful penalty.</w:t>
      </w:r>
    </w:p>
    <w:p>
      <w:pPr>
        <w:keepNext/>
        <w:spacing w:after="40" w:before="140"/>
      </w:pPr>
      <w:r>
        <w:rPr>
          <w:rFonts w:ascii="Calibri" w:cs="Calibri" w:eastAsia="Calibri" w:hAnsi="Calibri"/>
          <w:b/>
          <w:bCs/>
          <w:color w:val="14161B"/>
          <w:sz w:val="20"/>
          <w:szCs w:val="20"/>
        </w:rPr>
        <w:t xml:space="preserve">One penalty per act</w:t>
      </w:r>
    </w:p>
    <w:p>
      <w:pPr>
        <w:spacing w:after="60" w:line="264"/>
        <w:jc w:val="both"/>
      </w:pPr>
      <w:r>
        <w:rPr>
          <w:rFonts w:ascii="Calibri" w:cs="Calibri" w:eastAsia="Calibri" w:hAnsi="Calibri"/>
          <w:sz w:val="19"/>
          <w:szCs w:val="19"/>
        </w:rPr>
        <w:t xml:space="preserve">A written warning and a deduction for the same conduct is two penalties. Choose one, apply it, and record why it was proportionate.</w:t>
      </w:r>
    </w:p>
    <w:p>
      <w:pPr>
        <w:keepNext/>
        <w:spacing w:after="40" w:before="140"/>
      </w:pPr>
      <w:r>
        <w:rPr>
          <w:rFonts w:ascii="Calibri" w:cs="Calibri" w:eastAsia="Calibri" w:hAnsi="Calibri"/>
          <w:b/>
          <w:bCs/>
          <w:color w:val="14161B"/>
          <w:sz w:val="20"/>
          <w:szCs w:val="20"/>
        </w:rPr>
        <w:t xml:space="preserve">Timing limits apply</w:t>
      </w:r>
    </w:p>
    <w:p>
      <w:pPr>
        <w:spacing w:after="60" w:line="264"/>
        <w:jc w:val="both"/>
      </w:pPr>
      <w:r>
        <w:rPr>
          <w:rFonts w:ascii="Calibri" w:cs="Calibri" w:eastAsia="Calibri" w:hAnsi="Calibri"/>
          <w:sz w:val="19"/>
          <w:szCs w:val="19"/>
        </w:rPr>
        <w:t xml:space="preserve">The Law limits the period within which a penalty may be imposed after the act or its discovery. Delay alone can invalidate a decision that was otherwise correct. Confirm the current periods and act within them.</w:t>
      </w:r>
    </w:p>
    <w:p>
      <w:pPr>
        <w:keepNext/>
        <w:spacing w:after="40" w:before="140"/>
      </w:pPr>
      <w:r>
        <w:rPr>
          <w:rFonts w:ascii="Calibri" w:cs="Calibri" w:eastAsia="Calibri" w:hAnsi="Calibri"/>
          <w:b/>
          <w:bCs/>
          <w:color w:val="14161B"/>
          <w:sz w:val="20"/>
          <w:szCs w:val="20"/>
        </w:rPr>
        <w:t xml:space="preserve">Deductions are tightly constrained</w:t>
      </w:r>
    </w:p>
    <w:p>
      <w:pPr>
        <w:spacing w:after="60" w:line="264"/>
        <w:jc w:val="both"/>
      </w:pPr>
      <w:r>
        <w:rPr>
          <w:rFonts w:ascii="Calibri" w:cs="Calibri" w:eastAsia="Calibri" w:hAnsi="Calibri"/>
          <w:sz w:val="19"/>
          <w:szCs w:val="19"/>
        </w:rPr>
        <w:t xml:space="preserve">Wage deductions as a penalty are permitted only within statutory limits as to amount and duration, and separately from that, employer costs — recruitment, permit, visa, medical, Emirates ID — can never be recovered from an employee at all.</w:t>
      </w:r>
    </w:p>
    <w:p>
      <w:pPr>
        <w:keepNext/>
        <w:spacing w:after="40" w:before="140"/>
      </w:pPr>
      <w:r>
        <w:rPr>
          <w:rFonts w:ascii="Calibri" w:cs="Calibri" w:eastAsia="Calibri" w:hAnsi="Calibri"/>
          <w:b/>
          <w:bCs/>
          <w:color w:val="14161B"/>
          <w:sz w:val="20"/>
          <w:szCs w:val="20"/>
        </w:rPr>
        <w:t xml:space="preserve">Retaliation risks an arbitrary dismissal finding</w:t>
      </w:r>
    </w:p>
    <w:p>
      <w:pPr>
        <w:spacing w:after="60" w:line="264"/>
        <w:jc w:val="both"/>
      </w:pPr>
      <w:r>
        <w:rPr>
          <w:rFonts w:ascii="Calibri" w:cs="Calibri" w:eastAsia="Calibri" w:hAnsi="Calibri"/>
          <w:sz w:val="19"/>
          <w:szCs w:val="19"/>
        </w:rPr>
        <w:t xml:space="preserve">Dismissing someone because they raised a legitimate complaint or pursued a claim can attract compensation of up to three months’ salary on top of everything else. Where a termination follows a complaint, expect the sequence to be scrutinised.</w:t>
      </w:r>
    </w:p>
    <w:p>
      <w:pPr>
        <w:keepNext/>
        <w:spacing w:after="40" w:before="140"/>
      </w:pPr>
      <w:r>
        <w:rPr>
          <w:rFonts w:ascii="Calibri" w:cs="Calibri" w:eastAsia="Calibri" w:hAnsi="Calibri"/>
          <w:b/>
          <w:bCs/>
          <w:color w:val="14161B"/>
          <w:sz w:val="20"/>
          <w:szCs w:val="20"/>
        </w:rPr>
        <w:t xml:space="preserve">Document the real reason at the time</w:t>
      </w:r>
    </w:p>
    <w:p>
      <w:pPr>
        <w:spacing w:after="60" w:line="264"/>
        <w:jc w:val="both"/>
      </w:pPr>
      <w:r>
        <w:rPr>
          <w:rFonts w:ascii="Calibri" w:cs="Calibri" w:eastAsia="Calibri" w:hAnsi="Calibri"/>
          <w:sz w:val="19"/>
          <w:szCs w:val="19"/>
        </w:rPr>
        <w:t xml:space="preserve">A reason recorded contemporaneously with supporting evidence is defensible. A reason constructed after a claim is filed reads as constructed. This single habit prevents most adverse findings.</w:t>
      </w:r>
    </w:p>
    <w:p>
      <w:pPr>
        <w:keepNext/>
        <w:spacing w:after="40" w:before="140"/>
      </w:pPr>
      <w:r>
        <w:rPr>
          <w:rFonts w:ascii="Calibri" w:cs="Calibri" w:eastAsia="Calibri" w:hAnsi="Calibri"/>
          <w:b/>
          <w:bCs/>
          <w:color w:val="14161B"/>
          <w:sz w:val="20"/>
          <w:szCs w:val="20"/>
        </w:rPr>
        <w:t xml:space="preserve">Pay within 14 days regardless of the dispute</w:t>
      </w:r>
    </w:p>
    <w:p>
      <w:pPr>
        <w:spacing w:after="60" w:line="264"/>
        <w:jc w:val="both"/>
      </w:pPr>
      <w:r>
        <w:rPr>
          <w:rFonts w:ascii="Calibri" w:cs="Calibri" w:eastAsia="Calibri" w:hAnsi="Calibri"/>
          <w:sz w:val="19"/>
          <w:szCs w:val="19"/>
        </w:rPr>
        <w:t xml:space="preserve">All end-of-service entitlements are due within 14 days of the last working day. Withholding them to gain leverage in a disagreement is itself a breach and turns one dispute into two.</w:t>
      </w:r>
    </w:p>
    <w:p>
      <w:pPr>
        <w:keepNext/>
        <w:spacing w:after="40" w:before="140"/>
      </w:pPr>
      <w:r>
        <w:rPr>
          <w:rFonts w:ascii="Calibri" w:cs="Calibri" w:eastAsia="Calibri" w:hAnsi="Calibri"/>
          <w:b/>
          <w:bCs/>
          <w:color w:val="14161B"/>
          <w:sz w:val="20"/>
          <w:szCs w:val="20"/>
        </w:rPr>
        <w:t xml:space="preserve">MOHRE comes before the courts</w:t>
      </w:r>
    </w:p>
    <w:p>
      <w:pPr>
        <w:spacing w:after="60" w:line="264"/>
        <w:jc w:val="both"/>
      </w:pPr>
      <w:r>
        <w:rPr>
          <w:rFonts w:ascii="Calibri" w:cs="Calibri" w:eastAsia="Calibri" w:hAnsi="Calibri"/>
          <w:sz w:val="19"/>
          <w:szCs w:val="19"/>
        </w:rPr>
        <w:t xml:space="preserve">Employment disputes are handled by MOHRE before any court proceedings. That process reviews what actually happened and what was documented, so the file assembled during the investigation is the file that decides the outcome.</w:t>
      </w:r>
    </w:p>
    <w:p>
      <w:pPr>
        <w:keepNext/>
        <w:spacing w:after="40" w:before="140"/>
      </w:pPr>
      <w:r>
        <w:rPr>
          <w:rFonts w:ascii="Calibri" w:cs="Calibri" w:eastAsia="Calibri" w:hAnsi="Calibri"/>
          <w:b/>
          <w:bCs/>
          <w:color w:val="14161B"/>
          <w:sz w:val="20"/>
          <w:szCs w:val="20"/>
        </w:rPr>
        <w:t xml:space="preserve">Separate discipline from performance</w:t>
      </w:r>
    </w:p>
    <w:p>
      <w:pPr>
        <w:spacing w:after="60" w:line="264"/>
        <w:jc w:val="both"/>
      </w:pPr>
      <w:r>
        <w:rPr>
          <w:rFonts w:ascii="Calibri" w:cs="Calibri" w:eastAsia="Calibri" w:hAnsi="Calibri"/>
          <w:sz w:val="19"/>
          <w:szCs w:val="19"/>
        </w:rPr>
        <w:t xml:space="preserve">Poor performance and misconduct are different problems with different routes. Running a performance issue through a disciplinary process, or vice versa, produces a decision that is hard to defend and demoralises the wider team.</w:t>
      </w:r>
    </w:p>
    <w:p>
      <w:pPr>
        <w:keepNext/>
        <w:spacing w:after="40" w:before="140"/>
      </w:pPr>
      <w:r>
        <w:rPr>
          <w:rFonts w:ascii="Calibri" w:cs="Calibri" w:eastAsia="Calibri" w:hAnsi="Calibri"/>
          <w:b/>
          <w:bCs/>
          <w:color w:val="14161B"/>
          <w:sz w:val="20"/>
          <w:szCs w:val="20"/>
        </w:rPr>
        <w:t xml:space="preserve">Free zone, DIFC and ADGM differ</w:t>
      </w:r>
    </w:p>
    <w:p>
      <w:pPr>
        <w:spacing w:after="60" w:line="264"/>
        <w:jc w:val="both"/>
      </w:pPr>
      <w:r>
        <w:rPr>
          <w:rFonts w:ascii="Calibri" w:cs="Calibri" w:eastAsia="Calibri" w:hAnsi="Calibri"/>
          <w:sz w:val="19"/>
          <w:szCs w:val="19"/>
        </w:rPr>
        <w:t xml:space="preserve">Free zones generally apply the federal law through the zone authority, but DIFC and ADGM operate their own employment codes with different procedures and penalties. This procedure is drafted for the mainland; those entities need their own.</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Federal Decree-Law 33/2021 has been amended and the Cabinet resolutions governing permitted penalties, suspension, deduction limits, timing periods and the grounds for summary dismissal all change — confirm the current list and periods with MOHRE or a UAE employment adviser before imposing any penalty.</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2026-08-23T16:28:34.709Z</dcterms:created>
  <dcterms:modified xsi:type="dcterms:W3CDTF">2026-08-23T16:28:34.709Z</dcterms:modified>
</cp:coreProperties>
</file>

<file path=docProps/custom.xml><?xml version="1.0" encoding="utf-8"?>
<Properties xmlns="http://schemas.openxmlformats.org/officeDocument/2006/custom-properties" xmlns:vt="http://schemas.openxmlformats.org/officeDocument/2006/docPropsVTypes"/>
</file>