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DIFC DATA PROTECTION POLICY</w:t>
      </w:r>
    </w:p>
    <w:p>
      <w:pPr>
        <w:spacing w:after="260"/>
        <w:jc w:val="center"/>
      </w:pPr>
      <w:r>
        <w:rPr>
          <w:rFonts w:ascii="Calibri" w:cs="Calibri" w:eastAsia="Calibri" w:hAnsi="Calibri"/>
          <w:i/>
          <w:iCs/>
          <w:color w:val="6E7480"/>
          <w:sz w:val="19"/>
          <w:szCs w:val="19"/>
        </w:rPr>
        <w:t xml:space="preserve">DIFC Data Protection Law No. 5 of 2020 — </w:t>
      </w: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The DIFC regime is closer to European data protection law than the federal UAE law is, and it is administered by its own Commissioner with its own courts. Two consequences matter most: </w:t>
      </w:r>
      <w:r>
        <w:rPr>
          <w:rFonts w:ascii="Calibri" w:cs="Calibri" w:eastAsia="Calibri" w:hAnsi="Calibri"/>
          <w:b/>
          <w:bCs/>
          <w:i/>
          <w:iCs/>
          <w:color w:val="6E7480"/>
          <w:sz w:val="21"/>
          <w:szCs w:val="21"/>
        </w:rPr>
        <w:t xml:space="preserve">legitimate interests is available as a lawful basis</w:t>
      </w:r>
      <w:r>
        <w:rPr>
          <w:rFonts w:ascii="Calibri" w:cs="Calibri" w:eastAsia="Calibri" w:hAnsi="Calibri"/>
          <w:i/>
          <w:iCs/>
          <w:color w:val="6E7480"/>
          <w:sz w:val="21"/>
          <w:szCs w:val="21"/>
        </w:rPr>
        <w:t xml:space="preserve">, and </w:t>
      </w:r>
      <w:r>
        <w:rPr>
          <w:rFonts w:ascii="Calibri" w:cs="Calibri" w:eastAsia="Calibri" w:hAnsi="Calibri"/>
          <w:b/>
          <w:bCs/>
          <w:i/>
          <w:iCs/>
          <w:color w:val="6E7480"/>
          <w:sz w:val="21"/>
          <w:szCs w:val="21"/>
        </w:rPr>
        <w:t xml:space="preserve">the UAE mainland is not on the DIFC adequacy list</w:t>
      </w:r>
      <w:r>
        <w:rPr>
          <w:rFonts w:ascii="Calibri" w:cs="Calibri" w:eastAsia="Calibri" w:hAnsi="Calibri"/>
          <w:i/>
          <w:iCs/>
          <w:color w:val="6E7480"/>
          <w:sz w:val="21"/>
          <w:szCs w:val="21"/>
        </w:rPr>
        <w:t xml:space="preserve"> — so sending data to a mainland affiliate is a restricted transfer requiring safeguards.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cantSplit/>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Entity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DIFC registration </w:t>
            </w:r>
            <w:r>
              <w:rPr>
                <w:rFonts w:ascii="Calibri" w:cs="Calibri" w:eastAsia="Calibri" w:hAnsi="Calibri"/>
                <w:b/>
                <w:bCs/>
                <w:sz w:val="19"/>
                <w:szCs w:val="19"/>
              </w:rPr>
              <w:t xml:space="preserve">[NUMBER]</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Role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[Controller / Processor / Both]</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Data Protection Officer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 or "not appointed"; see Section 6]</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DPO appointment notified to the Commissioner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 / Not applicable]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 notification to the Commissioner filed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High risk processing activities?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see Section 6]</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Annually, and on any material change to processing</w:t>
            </w:r>
          </w:p>
        </w:tc>
      </w:tr>
    </w:tbl>
    <w:p>
      <w:pPr>
        <w:spacing w:after="180"/>
      </w:pPr>
    </w:p>
    <w:p>
      <w:pPr>
        <w:keepNext/>
        <w:spacing w:after="120" w:before="280"/>
        <w:outlineLvl w:val="0"/>
      </w:pPr>
      <w:r>
        <w:rPr>
          <w:rFonts w:ascii="Calibri" w:cs="Calibri" w:eastAsia="Calibri" w:hAnsi="Calibri"/>
          <w:b/>
          <w:bCs/>
          <w:color w:val="14161B"/>
          <w:sz w:val="22"/>
          <w:szCs w:val="22"/>
        </w:rPr>
        <w:t xml:space="preserve">1. SCOPE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This policy applies to the processing of personal data by </w:t>
      </w:r>
      <w:r>
        <w:rPr>
          <w:rFonts w:ascii="Calibri" w:cs="Calibri" w:eastAsia="Calibri" w:hAnsi="Calibri"/>
          <w:b/>
          <w:bCs/>
          <w:sz w:val="21"/>
          <w:szCs w:val="21"/>
        </w:rPr>
        <w:t xml:space="preserve">[COMPANY NAME]</w:t>
      </w:r>
      <w:r>
        <w:rPr>
          <w:rFonts w:ascii="Calibri" w:cs="Calibri" w:eastAsia="Calibri" w:hAnsi="Calibri"/>
          <w:sz w:val="21"/>
          <w:szCs w:val="21"/>
        </w:rPr>
        <w:t xml:space="preserve"> as an entity established in the Dubai International Financial Centre.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governing law is </w:t>
      </w:r>
      <w:r>
        <w:rPr>
          <w:rFonts w:ascii="Calibri" w:cs="Calibri" w:eastAsia="Calibri" w:hAnsi="Calibri"/>
          <w:b/>
          <w:bCs/>
          <w:sz w:val="21"/>
          <w:szCs w:val="21"/>
        </w:rPr>
        <w:t xml:space="preserve">DIFC Data Protection Law No. 5 of 2020</w:t>
      </w:r>
      <w:r>
        <w:rPr>
          <w:rFonts w:ascii="Calibri" w:cs="Calibri" w:eastAsia="Calibri" w:hAnsi="Calibri"/>
          <w:sz w:val="21"/>
          <w:szCs w:val="21"/>
        </w:rPr>
        <w:t xml:space="preserve">, as amended, together with the DIFC Data Protection Regulations. The regulator is the </w:t>
      </w:r>
      <w:r>
        <w:rPr>
          <w:rFonts w:ascii="Calibri" w:cs="Calibri" w:eastAsia="Calibri" w:hAnsi="Calibri"/>
          <w:b/>
          <w:bCs/>
          <w:sz w:val="21"/>
          <w:szCs w:val="21"/>
        </w:rPr>
        <w:t xml:space="preserve">DIFC Commissioner of Data Protection</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federal UAE Personal Data Protection Law does </w:t>
      </w:r>
      <w:r>
        <w:rPr>
          <w:rFonts w:ascii="Calibri" w:cs="Calibri" w:eastAsia="Calibri" w:hAnsi="Calibri"/>
          <w:b/>
          <w:bCs/>
          <w:sz w:val="21"/>
          <w:szCs w:val="21"/>
        </w:rPr>
        <w:t xml:space="preserve">not</w:t>
      </w:r>
      <w:r>
        <w:rPr>
          <w:rFonts w:ascii="Calibri" w:cs="Calibri" w:eastAsia="Calibri" w:hAnsi="Calibri"/>
          <w:sz w:val="21"/>
          <w:szCs w:val="21"/>
        </w:rPr>
        <w:t xml:space="preserve"> apply to processing by a DIFC entity within the DIFC. Where the Company also operates a mainland or other free zone entity, that entity is separately subject to the federal PDPL.</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i/>
          <w:iCs/>
          <w:sz w:val="21"/>
          <w:szCs w:val="21"/>
        </w:rPr>
        <w:t xml:space="preserve">Group structures frequently run both regimes simultaneously. Mapping is per entity and per dataset.</w:t>
      </w:r>
    </w:p>
    <w:p>
      <w:pPr>
        <w:keepNext/>
        <w:spacing w:after="120" w:before="280"/>
        <w:outlineLvl w:val="0"/>
      </w:pPr>
      <w:r>
        <w:rPr>
          <w:rFonts w:ascii="Calibri" w:cs="Calibri" w:eastAsia="Calibri" w:hAnsi="Calibri"/>
          <w:b/>
          <w:bCs/>
          <w:color w:val="14161B"/>
          <w:sz w:val="22"/>
          <w:szCs w:val="22"/>
        </w:rPr>
        <w:t xml:space="preserve">2. PRINCIPLES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cantSplit/>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Principle</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it requires</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Lawfulness, fairness and transparency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Process lawfully and tell people what you are doing</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Purpose limitation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Collect for specified, explicit, legitimate purposes</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Data minimisation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Adequate, relevant and limited to what is necessary</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Accuracy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Accurate and kept up to date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Storage limitation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Kept no longer than necessary</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Integrity and confidentiality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Appropriate security</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Accountability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Demonstrate compliance</w:t>
            </w:r>
            <w:r>
              <w:rPr>
                <w:rFonts w:ascii="Calibri" w:cs="Calibri" w:eastAsia="Calibri" w:hAnsi="Calibri"/>
                <w:sz w:val="18"/>
                <w:szCs w:val="18"/>
              </w:rPr>
              <w:t xml:space="preserve"> — records, assessments, governance</w:t>
            </w:r>
          </w:p>
        </w:tc>
      </w:tr>
    </w:tbl>
    <w:p>
      <w:pPr>
        <w:keepNext/>
        <w:spacing w:after="120" w:before="280"/>
        <w:outlineLvl w:val="0"/>
      </w:pPr>
      <w:r>
        <w:rPr>
          <w:rFonts w:ascii="Calibri" w:cs="Calibri" w:eastAsia="Calibri" w:hAnsi="Calibri"/>
          <w:b/>
          <w:bCs/>
          <w:color w:val="14161B"/>
          <w:sz w:val="22"/>
          <w:szCs w:val="22"/>
        </w:rPr>
        <w:t xml:space="preserve">3. LAWFUL BASIS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Company processes personal data on one of the following bases, recorded for each activity:</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consent</w:t>
      </w:r>
      <w:r>
        <w:rPr>
          <w:rFonts w:ascii="Calibri" w:cs="Calibri" w:eastAsia="Calibri" w:hAnsi="Calibri"/>
          <w:sz w:val="21"/>
          <w:szCs w:val="21"/>
        </w:rPr>
        <w:t xml:space="preserve">, freely given, specific, informed and unambiguous, and withdrawable;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performance of a </w:t>
      </w:r>
      <w:r>
        <w:rPr>
          <w:rFonts w:ascii="Calibri" w:cs="Calibri" w:eastAsia="Calibri" w:hAnsi="Calibri"/>
          <w:b/>
          <w:bCs/>
          <w:sz w:val="21"/>
          <w:szCs w:val="21"/>
        </w:rPr>
        <w:t xml:space="preserve">contract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compliance with a </w:t>
      </w:r>
      <w:r>
        <w:rPr>
          <w:rFonts w:ascii="Calibri" w:cs="Calibri" w:eastAsia="Calibri" w:hAnsi="Calibri"/>
          <w:b/>
          <w:bCs/>
          <w:sz w:val="21"/>
          <w:szCs w:val="21"/>
        </w:rPr>
        <w:t xml:space="preserve">legal obligation</w:t>
      </w:r>
      <w:r>
        <w:rPr>
          <w:rFonts w:ascii="Calibri" w:cs="Calibri" w:eastAsia="Calibri" w:hAnsi="Calibri"/>
          <w:sz w:val="21"/>
          <w:szCs w:val="21"/>
        </w:rPr>
        <w:t xml:space="preserve"> to which the Company is subject;</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protection of </w:t>
      </w:r>
      <w:r>
        <w:rPr>
          <w:rFonts w:ascii="Calibri" w:cs="Calibri" w:eastAsia="Calibri" w:hAnsi="Calibri"/>
          <w:b/>
          <w:bCs/>
          <w:sz w:val="21"/>
          <w:szCs w:val="21"/>
        </w:rPr>
        <w:t xml:space="preserve">vital interests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performance of a task in the </w:t>
      </w:r>
      <w:r>
        <w:rPr>
          <w:rFonts w:ascii="Calibri" w:cs="Calibri" w:eastAsia="Calibri" w:hAnsi="Calibri"/>
          <w:b/>
          <w:bCs/>
          <w:sz w:val="21"/>
          <w:szCs w:val="21"/>
        </w:rPr>
        <w:t xml:space="preserve">public interest</w:t>
      </w:r>
      <w:r>
        <w:rPr>
          <w:rFonts w:ascii="Calibri" w:cs="Calibri" w:eastAsia="Calibri" w:hAnsi="Calibri"/>
          <w:sz w:val="21"/>
          <w:szCs w:val="21"/>
        </w:rPr>
        <w:t xml:space="preserve"> or exercise of official authority; or</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b/>
          <w:bCs/>
          <w:sz w:val="21"/>
          <w:szCs w:val="21"/>
        </w:rPr>
        <w:t xml:space="preserve">legitimate interests</w:t>
      </w:r>
      <w:r>
        <w:rPr>
          <w:rFonts w:ascii="Calibri" w:cs="Calibri" w:eastAsia="Calibri" w:hAnsi="Calibri"/>
          <w:sz w:val="21"/>
          <w:szCs w:val="21"/>
        </w:rPr>
        <w:t xml:space="preserve"> pursued by the Company or a third party, except where overridden by the interests or rights of the data subject.</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i/>
          <w:iCs/>
          <w:sz w:val="21"/>
          <w:szCs w:val="21"/>
        </w:rPr>
        <w:t xml:space="preserve">Legitimate interests is the practical difference from the federal regime. Where relied on, carry out and retain a balancing assessment — the interest pursued, why the processing is necessary, the effect on the individual, and the safeguards applied.</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Special categories</w:t>
      </w:r>
      <w:r>
        <w:rPr>
          <w:rFonts w:ascii="Calibri" w:cs="Calibri" w:eastAsia="Calibri" w:hAnsi="Calibri"/>
          <w:sz w:val="21"/>
          <w:szCs w:val="21"/>
        </w:rPr>
        <w:t xml:space="preserve"> of personal data — revealing racial or ethnic origin, political opinions, religious or philosophical beliefs, trade union membership, genetic or biometric data, health, or sex life — require an additional condition to be met.</w:t>
      </w:r>
    </w:p>
    <w:p>
      <w:pPr>
        <w:keepNext/>
        <w:spacing w:after="120" w:before="280"/>
        <w:outlineLvl w:val="0"/>
      </w:pPr>
      <w:r>
        <w:rPr>
          <w:rFonts w:ascii="Calibri" w:cs="Calibri" w:eastAsia="Calibri" w:hAnsi="Calibri"/>
          <w:b/>
          <w:bCs/>
          <w:color w:val="14161B"/>
          <w:sz w:val="22"/>
          <w:szCs w:val="22"/>
        </w:rPr>
        <w:t xml:space="preserve">4. DATA SUBJECT RIGHTS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Right</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Response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Access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Confirm processing and provide a copy with the prescribed information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Rectification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Correct inaccurate or incomplete data</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Erasure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Delete where a ground applies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Restriction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Restrict processing in defined circumstances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Data portability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Provide in a structured, commonly used, machine-readable format</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Objection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Including to direct marketing, which must be honoured without exception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Automated decision-making</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to be subject to a decision based solely on automated processing with legal or similarly significant effects, subject to exceptions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Withdraw consent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any time, as easily as it was given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Complain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 the DIFC Commissioner of Data Protection</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Requests are directed to </w:t>
      </w:r>
      <w:r>
        <w:rPr>
          <w:rFonts w:ascii="Calibri" w:cs="Calibri" w:eastAsia="Calibri" w:hAnsi="Calibri"/>
          <w:b/>
          <w:bCs/>
          <w:sz w:val="21"/>
          <w:szCs w:val="21"/>
        </w:rPr>
        <w:t xml:space="preserve">[EMAIL]</w:t>
      </w:r>
      <w:r>
        <w:rPr>
          <w:rFonts w:ascii="Calibri" w:cs="Calibri" w:eastAsia="Calibri" w:hAnsi="Calibri"/>
          <w:sz w:val="21"/>
          <w:szCs w:val="21"/>
        </w:rPr>
        <w:t xml:space="preserve">, acknowledged within </w:t>
      </w:r>
      <w:r>
        <w:rPr>
          <w:rFonts w:ascii="Calibri" w:cs="Calibri" w:eastAsia="Calibri" w:hAnsi="Calibri"/>
          <w:b/>
          <w:bCs/>
          <w:sz w:val="21"/>
          <w:szCs w:val="21"/>
        </w:rPr>
        <w:t xml:space="preserve">[3]</w:t>
      </w:r>
      <w:r>
        <w:rPr>
          <w:rFonts w:ascii="Calibri" w:cs="Calibri" w:eastAsia="Calibri" w:hAnsi="Calibri"/>
          <w:b/>
          <w:bCs/>
          <w:sz w:val="21"/>
          <w:szCs w:val="21"/>
        </w:rPr>
        <w:t xml:space="preserve"> working days</w:t>
      </w:r>
      <w:r>
        <w:rPr>
          <w:rFonts w:ascii="Calibri" w:cs="Calibri" w:eastAsia="Calibri" w:hAnsi="Calibri"/>
          <w:sz w:val="21"/>
          <w:szCs w:val="21"/>
        </w:rPr>
        <w:t xml:space="preserve">, and answered within </w:t>
      </w:r>
      <w:r>
        <w:rPr>
          <w:rFonts w:ascii="Calibri" w:cs="Calibri" w:eastAsia="Calibri" w:hAnsi="Calibri"/>
          <w:b/>
          <w:bCs/>
          <w:sz w:val="21"/>
          <w:szCs w:val="21"/>
        </w:rPr>
        <w:t xml:space="preserve">one month</w:t>
      </w:r>
      <w:r>
        <w:rPr>
          <w:rFonts w:ascii="Calibri" w:cs="Calibri" w:eastAsia="Calibri" w:hAnsi="Calibri"/>
          <w:sz w:val="21"/>
          <w:szCs w:val="21"/>
        </w:rPr>
        <w:t xml:space="preserve">, extendable where the request is complex, with the data subject informed of the extension and the reason.</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A reasonable fee may be charged only where a request is manifestly unfounded or excessive.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A register of requests, dates and outcomes is maintained.</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TRANSFERS OUT OF THE DIFC</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Personal data may be transferred out of the DIFC where: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destination is on the </w:t>
      </w:r>
      <w:r>
        <w:rPr>
          <w:rFonts w:ascii="Calibri" w:cs="Calibri" w:eastAsia="Calibri" w:hAnsi="Calibri"/>
          <w:b/>
          <w:bCs/>
          <w:sz w:val="21"/>
          <w:szCs w:val="21"/>
        </w:rPr>
        <w:t xml:space="preserve">DIFC list of adequate jurisdictions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appropriate safeguards are in place — standard contractual clauses, binding corporate rules, or an approved certification or code; or</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 </w:t>
      </w:r>
      <w:r>
        <w:rPr>
          <w:rFonts w:ascii="Calibri" w:cs="Calibri" w:eastAsia="Calibri" w:hAnsi="Calibri"/>
          <w:b/>
          <w:bCs/>
          <w:sz w:val="21"/>
          <w:szCs w:val="21"/>
        </w:rPr>
        <w:t xml:space="preserve">derogation</w:t>
      </w:r>
      <w:r>
        <w:rPr>
          <w:rFonts w:ascii="Calibri" w:cs="Calibri" w:eastAsia="Calibri" w:hAnsi="Calibri"/>
          <w:sz w:val="21"/>
          <w:szCs w:val="21"/>
        </w:rPr>
        <w:t xml:space="preserve"> applies, including explicit consent, contractual necessity, or important reasons of public interest, each narrowly construed.</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The UAE mainland is not on the DIFC adequacy list.</w:t>
      </w:r>
      <w:r>
        <w:rPr>
          <w:rFonts w:ascii="Calibri" w:cs="Calibri" w:eastAsia="Calibri" w:hAnsi="Calibri"/>
          <w:sz w:val="21"/>
          <w:szCs w:val="21"/>
        </w:rPr>
        <w:t xml:space="preserve"> A transfer from this entity to a mainland affiliate, a mainland service provider, or a mainland bank is a restricted transfer and requires safeguards or a derogation.</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i/>
          <w:iCs/>
          <w:sz w:val="21"/>
          <w:szCs w:val="21"/>
        </w:rPr>
        <w:t xml:space="preserve">This is the point groups most often miss. Data moving between a DIFC company and its own mainland sister company is a restricted transfer, and intra-group arrangements need documenting accordingly.</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A register of transfers, destinations and the safeguard relied on is maintained.</w:t>
      </w:r>
    </w:p>
    <w:p>
      <w:pPr>
        <w:keepNext/>
        <w:spacing w:after="120" w:before="280"/>
        <w:outlineLvl w:val="0"/>
      </w:pPr>
      <w:r>
        <w:rPr>
          <w:rFonts w:ascii="Calibri" w:cs="Calibri" w:eastAsia="Calibri" w:hAnsi="Calibri"/>
          <w:b/>
          <w:bCs/>
          <w:color w:val="14161B"/>
          <w:sz w:val="22"/>
          <w:szCs w:val="22"/>
        </w:rPr>
        <w:t xml:space="preserve">6. GOVERNANCE</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b/>
          <w:bCs/>
          <w:sz w:val="21"/>
          <w:szCs w:val="21"/>
        </w:rPr>
        <w:t xml:space="preserve">Data Protection Officer.</w:t>
      </w:r>
      <w:r>
        <w:rPr>
          <w:rFonts w:ascii="Calibri" w:cs="Calibri" w:eastAsia="Calibri" w:hAnsi="Calibri"/>
          <w:sz w:val="21"/>
          <w:szCs w:val="21"/>
        </w:rPr>
        <w:t xml:space="preserve"> The Company appoints a DPO where it undertakes high risk processing activities. The appointment is notified to the Commissioner, and the DPO’s contact details are published.</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High risk processing includes, among other things, systematic or extensive automated evaluation producing legal or significant effects, large-scale processing of special categories, systematic monitoring of a publicly accessible area, and the application of new technologies to processing.</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Annual notification.</w:t>
      </w:r>
      <w:r>
        <w:rPr>
          <w:rFonts w:ascii="Calibri" w:cs="Calibri" w:eastAsia="Calibri" w:hAnsi="Calibri"/>
          <w:sz w:val="21"/>
          <w:szCs w:val="21"/>
        </w:rPr>
        <w:t xml:space="preserve"> The Company files its annual notification with the Commissioner and updates it on material change.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b/>
          <w:bCs/>
          <w:sz w:val="21"/>
          <w:szCs w:val="21"/>
        </w:rPr>
        <w:t xml:space="preserve">Data protection impact assessment.</w:t>
      </w:r>
      <w:r>
        <w:rPr>
          <w:rFonts w:ascii="Calibri" w:cs="Calibri" w:eastAsia="Calibri" w:hAnsi="Calibri"/>
          <w:sz w:val="21"/>
          <w:szCs w:val="21"/>
        </w:rPr>
        <w:t xml:space="preserve"> Carried out before any high risk processing, recording the processing, the necessity and proportionality, the risks to data subjects, and the measures addressing them.</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b/>
          <w:bCs/>
          <w:sz w:val="21"/>
          <w:szCs w:val="21"/>
        </w:rPr>
        <w:t xml:space="preserve">Records of processing.</w:t>
      </w:r>
      <w:r>
        <w:rPr>
          <w:rFonts w:ascii="Calibri" w:cs="Calibri" w:eastAsia="Calibri" w:hAnsi="Calibri"/>
          <w:sz w:val="21"/>
          <w:szCs w:val="21"/>
        </w:rPr>
        <w:t xml:space="preserve"> Maintained as required and produced to the Commissioner on request.</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b/>
          <w:bCs/>
          <w:sz w:val="21"/>
          <w:szCs w:val="21"/>
        </w:rPr>
        <w:t xml:space="preserve">[Where the Company uses AI systems]</w:t>
      </w:r>
      <w:r>
        <w:rPr>
          <w:rFonts w:ascii="Calibri" w:cs="Calibri" w:eastAsia="Calibri" w:hAnsi="Calibri"/>
          <w:sz w:val="21"/>
          <w:szCs w:val="21"/>
        </w:rPr>
        <w:t xml:space="preserve"> </w:t>
      </w:r>
      <w:r>
        <w:rPr>
          <w:rFonts w:ascii="Calibri" w:cs="Calibri" w:eastAsia="Calibri" w:hAnsi="Calibri"/>
          <w:b/>
          <w:bCs/>
          <w:sz w:val="21"/>
          <w:szCs w:val="21"/>
        </w:rPr>
        <w:t xml:space="preserve">Autonomous and semi-autonomous systems.</w:t>
      </w:r>
      <w:r>
        <w:rPr>
          <w:rFonts w:ascii="Calibri" w:cs="Calibri" w:eastAsia="Calibri" w:hAnsi="Calibri"/>
          <w:sz w:val="21"/>
          <w:szCs w:val="21"/>
        </w:rPr>
        <w:t xml:space="preserve"> Where the Company deploys AI or automated systems processing personal data, it complies with the additional DIFC requirements applying to such systems, including impact assessment, transparency about automated decision-making, and documentation of high-risk use cases. </w:t>
      </w:r>
      <w:r>
        <w:rPr>
          <w:rFonts w:ascii="Calibri" w:cs="Calibri" w:eastAsia="Calibri" w:hAnsi="Calibri"/>
          <w:i/>
          <w:iCs/>
          <w:sz w:val="21"/>
          <w:szCs w:val="21"/>
        </w:rPr>
        <w:t xml:space="preserve">Confirm the current scope of these obligations — they were introduced recently and are developing.</w:t>
      </w:r>
    </w:p>
    <w:p>
      <w:pPr>
        <w:keepNext/>
        <w:spacing w:after="120" w:before="280"/>
        <w:outlineLvl w:val="0"/>
      </w:pPr>
      <w:r>
        <w:rPr>
          <w:rFonts w:ascii="Calibri" w:cs="Calibri" w:eastAsia="Calibri" w:hAnsi="Calibri"/>
          <w:b/>
          <w:bCs/>
          <w:color w:val="14161B"/>
          <w:sz w:val="22"/>
          <w:szCs w:val="22"/>
        </w:rPr>
        <w:t xml:space="preserve">7. SECURITY AND BREACH</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Company applies technical and organisational measures appropriate to the risk, including access control, encryption where appropriate, resilience, and regular testing.</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Any suspected breach must be reported </w:t>
      </w:r>
      <w:r>
        <w:rPr>
          <w:rFonts w:ascii="Calibri" w:cs="Calibri" w:eastAsia="Calibri" w:hAnsi="Calibri"/>
          <w:b/>
          <w:bCs/>
          <w:sz w:val="21"/>
          <w:szCs w:val="21"/>
        </w:rPr>
        <w:t xml:space="preserve">immediately</w:t>
      </w:r>
      <w:r>
        <w:rPr>
          <w:rFonts w:ascii="Calibri" w:cs="Calibri" w:eastAsia="Calibri" w:hAnsi="Calibri"/>
          <w:sz w:val="21"/>
          <w:szCs w:val="21"/>
        </w:rPr>
        <w:t xml:space="preserve"> to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and </w:t>
      </w:r>
      <w:r>
        <w:rPr>
          <w:rFonts w:ascii="Calibri" w:cs="Calibri" w:eastAsia="Calibri" w:hAnsi="Calibri"/>
          <w:b/>
          <w:bCs/>
          <w:sz w:val="21"/>
          <w:szCs w:val="21"/>
        </w:rPr>
        <w:t xml:space="preserve">[PHONE]</w:t>
      </w:r>
      <w:r>
        <w:rPr>
          <w:rFonts w:ascii="Calibri" w:cs="Calibri" w:eastAsia="Calibri" w:hAnsi="Calibri"/>
          <w:sz w:val="21"/>
          <w:szCs w:val="21"/>
        </w:rPr>
        <w:t xml:space="preserve">. Staff must not attempt to assess or resolve a breach before reporting it.</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Where a breach compromises a data subject’s confidentiality, security or privacy, the Company notifies the </w:t>
      </w:r>
      <w:r>
        <w:rPr>
          <w:rFonts w:ascii="Calibri" w:cs="Calibri" w:eastAsia="Calibri" w:hAnsi="Calibri"/>
          <w:b/>
          <w:bCs/>
          <w:sz w:val="21"/>
          <w:szCs w:val="21"/>
        </w:rPr>
        <w:t xml:space="preserve">Commissioner as soon as practicable in the circumstances</w:t>
      </w:r>
      <w:r>
        <w:rPr>
          <w:rFonts w:ascii="Calibri" w:cs="Calibri" w:eastAsia="Calibri" w:hAnsi="Calibri"/>
          <w:sz w:val="21"/>
          <w:szCs w:val="21"/>
        </w:rPr>
        <w:t xml:space="preserve">, and notifies affected data subjects promptly where there is a high risk to them.</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The Company maintains a breach register recording every incident, the assessment, the determination and the reasoning — </w:t>
      </w:r>
      <w:r>
        <w:rPr>
          <w:rFonts w:ascii="Calibri" w:cs="Calibri" w:eastAsia="Calibri" w:hAnsi="Calibri"/>
          <w:b/>
          <w:bCs/>
          <w:sz w:val="21"/>
          <w:szCs w:val="21"/>
        </w:rPr>
        <w:t xml:space="preserve">including incidents determined not notifiable</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8. PROCESSORS</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Where a processor acts for the Company, a written contract requires processing only on documented instructions, confidentiality, appropriate security, no sub-processor without authorisation, assistance with data subject rights and breach obligations, and return or deletion on termination.</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Company remains accountable for processing carried out on its behalf.</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A register of processors and sub-processors is maintained.</w:t>
      </w:r>
    </w:p>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w:t>
      </w:r>
    </w:p>
    <w:p>
      <w:pPr>
        <w:spacing w:after="260"/>
        <w:jc w:val="center"/>
      </w:pPr>
      <w:r>
        <w:rPr>
          <w:rFonts w:ascii="Calibri" w:cs="Calibri" w:eastAsia="Calibri" w:hAnsi="Calibri"/>
          <w:i/>
          <w:iCs/>
          <w:color w:val="6E7480"/>
          <w:sz w:val="19"/>
          <w:szCs w:val="19"/>
        </w:rPr>
        <w:t xml:space="preserve">DIFC Compliance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Entity confirmed as DIFC-registered and this regime confirmed as the applicable one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Records of processing complete for every activity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Lawful basis recorded per activity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Legitimate interests balancing assessments carried out and retained where relied 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Special category data identified and an additional condition met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High risk processing assessed; DPO appointed and notified where required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Annual notification to the Commissioner filed and current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Data protection impact assessments carried out for high risk processing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Privacy notices issued to customers, employees and applicants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Transfers to the UAE mainland identified and safeguards documented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Transfer register maintained with destinations and safeguards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Processor contracts contain the required terms including breach notification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Breach response plan documented and tested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Breach register maintained including non-notifiable incidents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Retention schedule set and applied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AI or automated systems assessed against the additional DIFC requirements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Staff training delivered and recorded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This regime is separate from the federal law</w:t>
      </w:r>
    </w:p>
    <w:p>
      <w:pPr>
        <w:spacing w:after="60" w:line="264"/>
        <w:jc w:val="both"/>
      </w:pPr>
      <w:r>
        <w:rPr>
          <w:rFonts w:ascii="Calibri" w:cs="Calibri" w:eastAsia="Calibri" w:hAnsi="Calibri"/>
          <w:sz w:val="19"/>
          <w:szCs w:val="19"/>
        </w:rPr>
        <w:t xml:space="preserve">A DIFC entity is governed by DIFC Data Protection Law No. 5 of 2020 and regulated by the DIFC Commissioner, not by the federal PDPL or the UAE Data Office. Applying a federal PDPL policy to a DIFC entity produces a document that references the wrong law, the wrong regulator and the wrong rights.</w:t>
      </w:r>
    </w:p>
    <w:p>
      <w:pPr>
        <w:keepNext/>
        <w:spacing w:after="40" w:before="140"/>
      </w:pPr>
      <w:r>
        <w:rPr>
          <w:rFonts w:ascii="Calibri" w:cs="Calibri" w:eastAsia="Calibri" w:hAnsi="Calibri"/>
          <w:b/>
          <w:bCs/>
          <w:color w:val="14161B"/>
          <w:sz w:val="20"/>
          <w:szCs w:val="20"/>
        </w:rPr>
        <w:t xml:space="preserve">Mainland is not adequate — the point most groups miss</w:t>
      </w:r>
    </w:p>
    <w:p>
      <w:pPr>
        <w:spacing w:after="60" w:line="264"/>
        <w:jc w:val="both"/>
      </w:pPr>
      <w:r>
        <w:rPr>
          <w:rFonts w:ascii="Calibri" w:cs="Calibri" w:eastAsia="Calibri" w:hAnsi="Calibri"/>
          <w:sz w:val="19"/>
          <w:szCs w:val="19"/>
        </w:rPr>
        <w:t xml:space="preserve">The DIFC maintains its own list of adequate jurisdictions and the UAE mainland is not on it. Sending personal data from a DIFC entity to a mainland affiliate, service provider or bank is a restricted transfer requiring standard contractual clauses, binding corporate rules or a derogation. Groups move data between their own entities constantly without treating it as a transfer at all.</w:t>
      </w:r>
    </w:p>
    <w:p>
      <w:pPr>
        <w:keepNext/>
        <w:spacing w:after="40" w:before="140"/>
      </w:pPr>
      <w:r>
        <w:rPr>
          <w:rFonts w:ascii="Calibri" w:cs="Calibri" w:eastAsia="Calibri" w:hAnsi="Calibri"/>
          <w:b/>
          <w:bCs/>
          <w:color w:val="14161B"/>
          <w:sz w:val="20"/>
          <w:szCs w:val="20"/>
        </w:rPr>
        <w:t xml:space="preserve">Legitimate interests is available here</w:t>
      </w:r>
    </w:p>
    <w:p>
      <w:pPr>
        <w:spacing w:after="60" w:line="264"/>
        <w:jc w:val="both"/>
      </w:pPr>
      <w:r>
        <w:rPr>
          <w:rFonts w:ascii="Calibri" w:cs="Calibri" w:eastAsia="Calibri" w:hAnsi="Calibri"/>
          <w:sz w:val="19"/>
          <w:szCs w:val="19"/>
        </w:rPr>
        <w:t xml:space="preserve">Unlike the federal regime, which leans heavily on consent, DIFC recognises legitimate interests as a lawful basis. That is genuinely useful — but it requires a documented balancing assessment. An assertion of legitimate interests with no assessment behind it is weaker than consent properly obtained.</w:t>
      </w:r>
    </w:p>
    <w:p>
      <w:pPr>
        <w:keepNext/>
        <w:spacing w:after="40" w:before="140"/>
      </w:pPr>
      <w:r>
        <w:rPr>
          <w:rFonts w:ascii="Calibri" w:cs="Calibri" w:eastAsia="Calibri" w:hAnsi="Calibri"/>
          <w:b/>
          <w:bCs/>
          <w:color w:val="14161B"/>
          <w:sz w:val="20"/>
          <w:szCs w:val="20"/>
        </w:rPr>
        <w:t xml:space="preserve">Do not carry analysis across jurisdictions</w:t>
      </w:r>
    </w:p>
    <w:p>
      <w:pPr>
        <w:spacing w:after="60" w:line="264"/>
        <w:jc w:val="both"/>
      </w:pPr>
      <w:r>
        <w:rPr>
          <w:rFonts w:ascii="Calibri" w:cs="Calibri" w:eastAsia="Calibri" w:hAnsi="Calibri"/>
          <w:sz w:val="19"/>
          <w:szCs w:val="19"/>
        </w:rPr>
        <w:t xml:space="preserve">A legitimate-interests assessment prepared for a DIFC entity does not support the same processing by a mainland affiliate under the federal law. Each entity needs its own analysis under its own regime.</w:t>
      </w:r>
    </w:p>
    <w:p>
      <w:pPr>
        <w:keepNext/>
        <w:spacing w:after="40" w:before="140"/>
      </w:pPr>
      <w:r>
        <w:rPr>
          <w:rFonts w:ascii="Calibri" w:cs="Calibri" w:eastAsia="Calibri" w:hAnsi="Calibri"/>
          <w:b/>
          <w:bCs/>
          <w:color w:val="14161B"/>
          <w:sz w:val="20"/>
          <w:szCs w:val="20"/>
        </w:rPr>
        <w:t xml:space="preserve">The annual notification is a real obligation</w:t>
      </w:r>
    </w:p>
    <w:p>
      <w:pPr>
        <w:spacing w:after="60" w:line="264"/>
        <w:jc w:val="both"/>
      </w:pPr>
      <w:r>
        <w:rPr>
          <w:rFonts w:ascii="Calibri" w:cs="Calibri" w:eastAsia="Calibri" w:hAnsi="Calibri"/>
          <w:sz w:val="19"/>
          <w:szCs w:val="19"/>
        </w:rPr>
        <w:t xml:space="preserve">DIFC entities file an annual notification with the Commissioner and update it on material change. It is administrative, it is easy, and it is the kind of thing that lapses quietly when the person who filed it last year has left.</w:t>
      </w:r>
    </w:p>
    <w:p>
      <w:pPr>
        <w:keepNext/>
        <w:spacing w:after="40" w:before="140"/>
      </w:pPr>
      <w:r>
        <w:rPr>
          <w:rFonts w:ascii="Calibri" w:cs="Calibri" w:eastAsia="Calibri" w:hAnsi="Calibri"/>
          <w:b/>
          <w:bCs/>
          <w:color w:val="14161B"/>
          <w:sz w:val="20"/>
          <w:szCs w:val="20"/>
        </w:rPr>
        <w:t xml:space="preserve">DPO appointment turns on high risk processing</w:t>
      </w:r>
    </w:p>
    <w:p>
      <w:pPr>
        <w:spacing w:after="60" w:line="264"/>
        <w:jc w:val="both"/>
      </w:pPr>
      <w:r>
        <w:rPr>
          <w:rFonts w:ascii="Calibri" w:cs="Calibri" w:eastAsia="Calibri" w:hAnsi="Calibri"/>
          <w:sz w:val="19"/>
          <w:szCs w:val="19"/>
        </w:rPr>
        <w:t xml:space="preserve">The trigger is the nature of the processing, not headcount. Large-scale special category processing, systematic monitoring, and automated evaluation with significant effects all point towards appointment. Where in doubt, appoint and notify.</w:t>
      </w:r>
    </w:p>
    <w:p>
      <w:pPr>
        <w:keepNext/>
        <w:spacing w:after="40" w:before="140"/>
      </w:pPr>
      <w:r>
        <w:rPr>
          <w:rFonts w:ascii="Calibri" w:cs="Calibri" w:eastAsia="Calibri" w:hAnsi="Calibri"/>
          <w:b/>
          <w:bCs/>
          <w:color w:val="14161B"/>
          <w:sz w:val="20"/>
          <w:szCs w:val="20"/>
        </w:rPr>
        <w:t xml:space="preserve">One month for data subject requests</w:t>
      </w:r>
    </w:p>
    <w:p>
      <w:pPr>
        <w:spacing w:after="60" w:line="264"/>
        <w:jc w:val="both"/>
      </w:pPr>
      <w:r>
        <w:rPr>
          <w:rFonts w:ascii="Calibri" w:cs="Calibri" w:eastAsia="Calibri" w:hAnsi="Calibri"/>
          <w:sz w:val="19"/>
          <w:szCs w:val="19"/>
        </w:rPr>
        <w:t xml:space="preserve">The DIFC response period is one month, extendable for complex requests provided the data subject is told of the extension and the reason. That is a shorter and more definite timeline than the federal position, and it needs a process behind it rather than good intentions.</w:t>
      </w:r>
    </w:p>
    <w:p>
      <w:pPr>
        <w:keepNext/>
        <w:spacing w:after="40" w:before="140"/>
      </w:pPr>
      <w:r>
        <w:rPr>
          <w:rFonts w:ascii="Calibri" w:cs="Calibri" w:eastAsia="Calibri" w:hAnsi="Calibri"/>
          <w:b/>
          <w:bCs/>
          <w:color w:val="14161B"/>
          <w:sz w:val="20"/>
          <w:szCs w:val="20"/>
        </w:rPr>
        <w:t xml:space="preserve">Direct marketing objections are absolute</w:t>
      </w:r>
    </w:p>
    <w:p>
      <w:pPr>
        <w:spacing w:after="60" w:line="264"/>
        <w:jc w:val="both"/>
      </w:pPr>
      <w:r>
        <w:rPr>
          <w:rFonts w:ascii="Calibri" w:cs="Calibri" w:eastAsia="Calibri" w:hAnsi="Calibri"/>
          <w:sz w:val="19"/>
          <w:szCs w:val="19"/>
        </w:rPr>
        <w:t xml:space="preserve">An objection to direct marketing must be honoured without a balancing exercise. Marketing suppression lists need to be central and applied across every campaign and channel.</w:t>
      </w:r>
    </w:p>
    <w:p>
      <w:pPr>
        <w:keepNext/>
        <w:spacing w:after="40" w:before="140"/>
      </w:pPr>
      <w:r>
        <w:rPr>
          <w:rFonts w:ascii="Calibri" w:cs="Calibri" w:eastAsia="Calibri" w:hAnsi="Calibri"/>
          <w:b/>
          <w:bCs/>
          <w:color w:val="14161B"/>
          <w:sz w:val="20"/>
          <w:szCs w:val="20"/>
        </w:rPr>
        <w:t xml:space="preserve">Portability is a real right here</w:t>
      </w:r>
    </w:p>
    <w:p>
      <w:pPr>
        <w:spacing w:after="60" w:line="264"/>
        <w:jc w:val="both"/>
      </w:pPr>
      <w:r>
        <w:rPr>
          <w:rFonts w:ascii="Calibri" w:cs="Calibri" w:eastAsia="Calibri" w:hAnsi="Calibri"/>
          <w:sz w:val="19"/>
          <w:szCs w:val="19"/>
        </w:rPr>
        <w:t xml:space="preserve">Data portability applies in DIFC. For a business holding structured customer data, the practical question is whether the systems can actually export it in a machine-readable format on request — usually discovered at the first request rather than in advance.</w:t>
      </w:r>
    </w:p>
    <w:p>
      <w:pPr>
        <w:keepNext/>
        <w:spacing w:after="40" w:before="140"/>
      </w:pPr>
      <w:r>
        <w:rPr>
          <w:rFonts w:ascii="Calibri" w:cs="Calibri" w:eastAsia="Calibri" w:hAnsi="Calibri"/>
          <w:b/>
          <w:bCs/>
          <w:color w:val="14161B"/>
          <w:sz w:val="20"/>
          <w:szCs w:val="20"/>
        </w:rPr>
        <w:t xml:space="preserve">AI and automated systems carry additional obligations</w:t>
      </w:r>
    </w:p>
    <w:p>
      <w:pPr>
        <w:spacing w:after="60" w:line="264"/>
        <w:jc w:val="both"/>
      </w:pPr>
      <w:r>
        <w:rPr>
          <w:rFonts w:ascii="Calibri" w:cs="Calibri" w:eastAsia="Calibri" w:hAnsi="Calibri"/>
          <w:sz w:val="19"/>
          <w:szCs w:val="19"/>
        </w:rPr>
        <w:t xml:space="preserve">DIFC introduced specific requirements for autonomous and semi-autonomous systems processing personal data, including impact assessment and transparency about automated decision-making. This area is developing quickly; confirm the current scope rather than relying on a policy drafted before it.</w:t>
      </w:r>
    </w:p>
    <w:p>
      <w:pPr>
        <w:keepNext/>
        <w:spacing w:after="40" w:before="140"/>
      </w:pPr>
      <w:r>
        <w:rPr>
          <w:rFonts w:ascii="Calibri" w:cs="Calibri" w:eastAsia="Calibri" w:hAnsi="Calibri"/>
          <w:b/>
          <w:bCs/>
          <w:color w:val="14161B"/>
          <w:sz w:val="20"/>
          <w:szCs w:val="20"/>
        </w:rPr>
        <w:t xml:space="preserve">Report breaches first, assess second</w:t>
      </w:r>
    </w:p>
    <w:p>
      <w:pPr>
        <w:spacing w:after="60" w:line="264"/>
        <w:jc w:val="both"/>
      </w:pPr>
      <w:r>
        <w:rPr>
          <w:rFonts w:ascii="Calibri" w:cs="Calibri" w:eastAsia="Calibri" w:hAnsi="Calibri"/>
          <w:sz w:val="19"/>
          <w:szCs w:val="19"/>
        </w:rPr>
        <w:t xml:space="preserve">Clause 7.2 instructs staff to report immediately without attempting to assess or fix. The most damaging delays come from a well-intentioned attempt to resolve something quietly, which loses containment time and often destroys the logs needed to establish scope.</w:t>
      </w:r>
    </w:p>
    <w:p>
      <w:pPr>
        <w:keepNext/>
        <w:spacing w:after="40" w:before="140"/>
      </w:pPr>
      <w:r>
        <w:rPr>
          <w:rFonts w:ascii="Calibri" w:cs="Calibri" w:eastAsia="Calibri" w:hAnsi="Calibri"/>
          <w:b/>
          <w:bCs/>
          <w:color w:val="14161B"/>
          <w:sz w:val="20"/>
          <w:szCs w:val="20"/>
        </w:rPr>
        <w:t xml:space="preserve">Record why a breach was not notified</w:t>
      </w:r>
    </w:p>
    <w:p>
      <w:pPr>
        <w:spacing w:after="60" w:line="264"/>
        <w:jc w:val="both"/>
      </w:pPr>
      <w:r>
        <w:rPr>
          <w:rFonts w:ascii="Calibri" w:cs="Calibri" w:eastAsia="Calibri" w:hAnsi="Calibri"/>
          <w:sz w:val="19"/>
          <w:szCs w:val="19"/>
        </w:rPr>
        <w:t xml:space="preserve">Entities document notified breaches and record nothing about those assessed and dismissed. If challenged, an absent record is indistinguishable from no assessment. Clause 7.4 requires the reasoning either way.</w:t>
      </w:r>
    </w:p>
    <w:p>
      <w:pPr>
        <w:keepNext/>
        <w:spacing w:after="40" w:before="140"/>
      </w:pPr>
      <w:r>
        <w:rPr>
          <w:rFonts w:ascii="Calibri" w:cs="Calibri" w:eastAsia="Calibri" w:hAnsi="Calibri"/>
          <w:b/>
          <w:bCs/>
          <w:color w:val="14161B"/>
          <w:sz w:val="20"/>
          <w:szCs w:val="20"/>
        </w:rPr>
        <w:t xml:space="preserve">Employee data is in scope and includes sensitive categories</w:t>
      </w:r>
    </w:p>
    <w:p>
      <w:pPr>
        <w:spacing w:after="60" w:line="264"/>
        <w:jc w:val="both"/>
      </w:pPr>
      <w:r>
        <w:rPr>
          <w:rFonts w:ascii="Calibri" w:cs="Calibri" w:eastAsia="Calibri" w:hAnsi="Calibri"/>
          <w:sz w:val="19"/>
          <w:szCs w:val="19"/>
        </w:rPr>
        <w:t xml:space="preserve">Passport and visa records, medical testing results and health insurance data all pass through a UAE employer. Much of it is special category data requiring an additional condition. Issue an employee privacy notice at onboarding.</w:t>
      </w:r>
    </w:p>
    <w:p>
      <w:pPr>
        <w:keepNext/>
        <w:spacing w:after="40" w:before="140"/>
      </w:pPr>
      <w:r>
        <w:rPr>
          <w:rFonts w:ascii="Calibri" w:cs="Calibri" w:eastAsia="Calibri" w:hAnsi="Calibri"/>
          <w:b/>
          <w:bCs/>
          <w:color w:val="14161B"/>
          <w:sz w:val="20"/>
          <w:szCs w:val="20"/>
        </w:rPr>
        <w:t xml:space="preserve">The Commissioner has real enforcement powers</w:t>
      </w:r>
    </w:p>
    <w:p>
      <w:pPr>
        <w:spacing w:after="60" w:line="264"/>
        <w:jc w:val="both"/>
      </w:pPr>
      <w:r>
        <w:rPr>
          <w:rFonts w:ascii="Calibri" w:cs="Calibri" w:eastAsia="Calibri" w:hAnsi="Calibri"/>
          <w:sz w:val="19"/>
          <w:szCs w:val="19"/>
        </w:rPr>
        <w:t xml:space="preserve">The DIFC regime includes fines and directions, and the Commissioner publishes guidance and takes enforcement action. This is not a light-touch jurisdiction on data protection.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DIFC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DIFC Data Protection Law No. 5 of 2020 was amended with effect from July 2025, and additional requirements for autonomous and semi-autonomous systems took effect from January 2026 — confirm the current text, the adequacy list and the notification requirements with the DIFC Commissioner or a DIFC data protection adviser before relying on this policy.</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2026-08-23T16:28:31.797Z</dcterms:created>
  <dcterms:modified xsi:type="dcterms:W3CDTF">2026-08-23T16:28:31.797Z</dcterms:modified>
</cp:coreProperties>
</file>

<file path=docProps/custom.xml><?xml version="1.0" encoding="utf-8"?>
<Properties xmlns="http://schemas.openxmlformats.org/officeDocument/2006/custom-properties" xmlns:vt="http://schemas.openxmlformats.org/officeDocument/2006/docPropsVTypes"/>
</file>