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EMPLOYEE HANDBOOK — DIFC AND ADGM</w:t>
      </w:r>
    </w:p>
    <w:p>
      <w:pPr>
        <w:spacing w:after="260"/>
        <w:jc w:val="center"/>
      </w:pPr>
      <w:r>
        <w:rPr>
          <w:rFonts w:ascii="Calibri" w:cs="Calibri" w:eastAsia="Calibri" w:hAnsi="Calibri"/>
          <w:i/>
          <w:iCs/>
          <w:color w:val="6E7480"/>
          <w:sz w:val="19"/>
          <w:szCs w:val="19"/>
        </w:rPr>
        <w:t xml:space="preserve">For employees of </w:t>
      </w: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If you have worked elsewhere in the UAE, several things here are different. There is </w:t>
      </w:r>
      <w:r>
        <w:rPr>
          <w:rFonts w:ascii="Calibri" w:cs="Calibri" w:eastAsia="Calibri" w:hAnsi="Calibri"/>
          <w:b/>
          <w:bCs/>
          <w:i/>
          <w:iCs/>
          <w:color w:val="6E7480"/>
          <w:sz w:val="21"/>
          <w:szCs w:val="21"/>
        </w:rPr>
        <w:t xml:space="preserve">no gratuity accrual</w:t>
      </w:r>
      <w:r>
        <w:rPr>
          <w:rFonts w:ascii="Calibri" w:cs="Calibri" w:eastAsia="Calibri" w:hAnsi="Calibri"/>
          <w:i/>
          <w:iCs/>
          <w:color w:val="6E7480"/>
          <w:sz w:val="21"/>
          <w:szCs w:val="21"/>
        </w:rPr>
        <w:t xml:space="preserve"> — your end-of-service benefit is built by monthly contributions into a funded scheme. Your contract need not be fixed term. And disputes go to the </w:t>
      </w:r>
      <w:r>
        <w:rPr>
          <w:rFonts w:ascii="Calibri" w:cs="Calibri" w:eastAsia="Calibri" w:hAnsi="Calibri"/>
          <w:b/>
          <w:bCs/>
          <w:i/>
          <w:iCs/>
          <w:color w:val="6E7480"/>
          <w:sz w:val="21"/>
          <w:szCs w:val="21"/>
        </w:rPr>
        <w:t xml:space="preserve">DIFC or ADGM Courts</w:t>
      </w:r>
      <w:r>
        <w:rPr>
          <w:rFonts w:ascii="Calibri" w:cs="Calibri" w:eastAsia="Calibri" w:hAnsi="Calibri"/>
          <w:i/>
          <w:iCs/>
          <w:color w:val="6E7480"/>
          <w:sz w:val="21"/>
          <w:szCs w:val="21"/>
        </w:rPr>
        <w:t xml:space="preserve">, in English, not to MOHRE.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[DIFC / ADGM]</w:t>
            </w:r>
            <w:r>
              <w:rPr>
                <w:rFonts w:ascii="Calibri" w:cs="Calibri" w:eastAsia="Calibri" w:hAnsi="Calibri"/>
                <w:sz w:val="19"/>
                <w:szCs w:val="19"/>
              </w:rPr>
              <w:t xml:space="preserve"> registration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Governing law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[DIFC Employment Law / ADGM Employment Regulations]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End of service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[DEWS / certified alternative scheme / ADGM arrangement]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Contribution rate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[5.83% / 8.33%]</w:t>
            </w:r>
            <w:r>
              <w:rPr>
                <w:rFonts w:ascii="Calibri" w:cs="Calibri" w:eastAsia="Calibri" w:hAnsi="Calibri"/>
                <w:sz w:val="19"/>
                <w:szCs w:val="19"/>
              </w:rPr>
              <w:t xml:space="preserve"> of monthly basic salary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Scheme administrator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Courts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[DIFC Courts / ADGM Courts]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regime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[DIFC DP Law 5/2020 / ADGM DP Regulations 2021]</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HR contact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Status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contractual</w:t>
            </w:r>
            <w:r>
              <w:rPr>
                <w:rFonts w:ascii="Calibri" w:cs="Calibri" w:eastAsia="Calibri" w:hAnsi="Calibri"/>
                <w:sz w:val="19"/>
                <w:szCs w:val="19"/>
              </w:rPr>
              <w:t xml:space="preserve"> — policy and guidance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STATUS OF THIS HANDBOOK</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handbook describes our policies and how things work here. </w:t>
      </w:r>
      <w:r>
        <w:rPr>
          <w:rFonts w:ascii="Calibri" w:cs="Calibri" w:eastAsia="Calibri" w:hAnsi="Calibri"/>
          <w:b/>
          <w:bCs/>
          <w:sz w:val="21"/>
          <w:szCs w:val="21"/>
        </w:rPr>
        <w:t xml:space="preserve">It does not form part of your contract of employment.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Where this handbook and your contract or the applicable law differ, </w:t>
      </w:r>
      <w:r>
        <w:rPr>
          <w:rFonts w:ascii="Calibri" w:cs="Calibri" w:eastAsia="Calibri" w:hAnsi="Calibri"/>
          <w:b/>
          <w:bCs/>
          <w:sz w:val="21"/>
          <w:szCs w:val="21"/>
        </w:rPr>
        <w:t xml:space="preserve">the contract and the law prevail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We may update this handbook and will notify material changes.</w:t>
      </w:r>
    </w:p>
    <w:p>
      <w:pPr>
        <w:keepNext/>
        <w:spacing w:after="120" w:before="280"/>
        <w:outlineLvl w:val="0"/>
      </w:pPr>
      <w:r>
        <w:rPr>
          <w:rFonts w:ascii="Calibri" w:cs="Calibri" w:eastAsia="Calibri" w:hAnsi="Calibri"/>
          <w:b/>
          <w:bCs/>
          <w:color w:val="14161B"/>
          <w:sz w:val="22"/>
          <w:szCs w:val="22"/>
        </w:rPr>
        <w:t xml:space="preserve">2. HOW THIS DIFFERS FROM THE REST OF THE UAE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3662"/>
        <w:gridCol w:w="3856"/>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Mainland and most free zones</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Here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Governing law</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Federal Decree-Law 33/2021</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Zone employment law</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 type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Fixed term only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Indefinite or fixed term</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End of service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Gratuity accrued and paid at exit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Monthly contributions to a funded scheme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holds your benefit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employer, as a provision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 scheme, in your name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Disputes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MOHRE, then the courts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[DIFC / ADGM]</w:t>
            </w:r>
            <w:r>
              <w:rPr>
                <w:rFonts w:ascii="Calibri" w:cs="Calibri" w:eastAsia="Calibri" w:hAnsi="Calibri"/>
                <w:b/>
                <w:bCs/>
                <w:sz w:val="17"/>
                <w:szCs w:val="17"/>
              </w:rPr>
              <w:t xml:space="preserve"> Courts</w:t>
            </w:r>
            <w:r>
              <w:rPr>
                <w:rFonts w:ascii="Calibri" w:cs="Calibri" w:eastAsia="Calibri" w:hAnsi="Calibri"/>
                <w:sz w:val="17"/>
                <w:szCs w:val="17"/>
              </w:rPr>
              <w:t xml:space="preserve">, in English</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Language of proceedings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Arabic</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English</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Emiratisation</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Applies on the mainland</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not apply</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ILOE unemployment insurance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Mandatory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Optional</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Data protection</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Federal PDPL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Zone regime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The point employees most often misunderstand: your end-of-service benefit is </w:t>
      </w:r>
      <w:r>
        <w:rPr>
          <w:rFonts w:ascii="Calibri" w:cs="Calibri" w:eastAsia="Calibri" w:hAnsi="Calibri"/>
          <w:i/>
          <w:iCs/>
          <w:sz w:val="21"/>
          <w:szCs w:val="21"/>
        </w:rPr>
        <w:t xml:space="preserve">not</w:t>
      </w:r>
      <w:r>
        <w:rPr>
          <w:rFonts w:ascii="Calibri" w:cs="Calibri" w:eastAsia="Calibri" w:hAnsi="Calibri"/>
          <w:i/>
          <w:iCs/>
          <w:sz w:val="21"/>
          <w:szCs w:val="21"/>
        </w:rPr>
        <w:t xml:space="preserve"> a gratuity the Company will calculate when you leave. It is money already contributed into a scheme in your name, month by month. You can see the balance, and it does not depend on the Company having the cash at the end.</w:t>
      </w:r>
    </w:p>
    <w:p>
      <w:pPr>
        <w:keepNext/>
        <w:spacing w:after="120" w:before="280"/>
        <w:outlineLvl w:val="0"/>
      </w:pPr>
      <w:r>
        <w:rPr>
          <w:rFonts w:ascii="Calibri" w:cs="Calibri" w:eastAsia="Calibri" w:hAnsi="Calibri"/>
          <w:b/>
          <w:bCs/>
          <w:color w:val="14161B"/>
          <w:sz w:val="22"/>
          <w:szCs w:val="22"/>
        </w:rPr>
        <w:t xml:space="preserve">3. YOUR END-OF-SERVICE SCHEME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contributes </w:t>
      </w:r>
      <w:r>
        <w:rPr>
          <w:rFonts w:ascii="Calibri" w:cs="Calibri" w:eastAsia="Calibri" w:hAnsi="Calibri"/>
          <w:b/>
          <w:bCs/>
          <w:sz w:val="21"/>
          <w:szCs w:val="21"/>
        </w:rPr>
        <w:t xml:space="preserve">[5.83%]</w:t>
      </w:r>
      <w:r>
        <w:rPr>
          <w:rFonts w:ascii="Calibri" w:cs="Calibri" w:eastAsia="Calibri" w:hAnsi="Calibri"/>
          <w:sz w:val="21"/>
          <w:szCs w:val="21"/>
        </w:rPr>
        <w:t xml:space="preserve"> of your monthly basic salary while your service is under five years, and </w:t>
      </w:r>
      <w:r>
        <w:rPr>
          <w:rFonts w:ascii="Calibri" w:cs="Calibri" w:eastAsia="Calibri" w:hAnsi="Calibri"/>
          <w:b/>
          <w:bCs/>
          <w:sz w:val="21"/>
          <w:szCs w:val="21"/>
        </w:rPr>
        <w:t xml:space="preserve">[8.33%]</w:t>
      </w:r>
      <w:r>
        <w:rPr>
          <w:rFonts w:ascii="Calibri" w:cs="Calibri" w:eastAsia="Calibri" w:hAnsi="Calibri"/>
          <w:sz w:val="21"/>
          <w:szCs w:val="21"/>
        </w:rPr>
        <w:t xml:space="preserve"> thereafter, into </w:t>
      </w:r>
      <w:r>
        <w:rPr>
          <w:rFonts w:ascii="Calibri" w:cs="Calibri" w:eastAsia="Calibri" w:hAnsi="Calibri"/>
          <w:b/>
          <w:bCs/>
          <w:sz w:val="21"/>
          <w:szCs w:val="21"/>
        </w:rPr>
        <w:t xml:space="preserve">[DEWS / the scheme]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Contributions are made </w:t>
      </w:r>
      <w:r>
        <w:rPr>
          <w:rFonts w:ascii="Calibri" w:cs="Calibri" w:eastAsia="Calibri" w:hAnsi="Calibri"/>
          <w:b/>
          <w:bCs/>
          <w:sz w:val="21"/>
          <w:szCs w:val="21"/>
        </w:rPr>
        <w:t xml:space="preserve">monthly</w:t>
      </w:r>
      <w:r>
        <w:rPr>
          <w:rFonts w:ascii="Calibri" w:cs="Calibri" w:eastAsia="Calibri" w:hAnsi="Calibri"/>
          <w:sz w:val="21"/>
          <w:szCs w:val="21"/>
        </w:rPr>
        <w:t xml:space="preserve">, in addition to your salary, and are not deducted from it.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You may make </w:t>
      </w:r>
      <w:r>
        <w:rPr>
          <w:rFonts w:ascii="Calibri" w:cs="Calibri" w:eastAsia="Calibri" w:hAnsi="Calibri"/>
          <w:b/>
          <w:bCs/>
          <w:sz w:val="21"/>
          <w:szCs w:val="21"/>
        </w:rPr>
        <w:t xml:space="preserve">voluntary additional contributions</w:t>
      </w:r>
      <w:r>
        <w:rPr>
          <w:rFonts w:ascii="Calibri" w:cs="Calibri" w:eastAsia="Calibri" w:hAnsi="Calibri"/>
          <w:sz w:val="21"/>
          <w:szCs w:val="21"/>
        </w:rPr>
        <w:t xml:space="preserve"> by agreement.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You can view your balance through </w:t>
      </w:r>
      <w:r>
        <w:rPr>
          <w:rFonts w:ascii="Calibri" w:cs="Calibri" w:eastAsia="Calibri" w:hAnsi="Calibri"/>
          <w:b/>
          <w:bCs/>
          <w:sz w:val="21"/>
          <w:szCs w:val="21"/>
        </w:rPr>
        <w:t xml:space="preserve">[THE ADMINISTRATOR’S PORTAL]</w:t>
      </w:r>
      <w:r>
        <w:rPr>
          <w:rFonts w:ascii="Calibri" w:cs="Calibri" w:eastAsia="Calibri" w:hAnsi="Calibri"/>
          <w:sz w:val="21"/>
          <w:szCs w:val="21"/>
        </w:rPr>
        <w:t xml:space="preserve">. </w:t>
      </w:r>
      <w:r>
        <w:rPr>
          <w:rFonts w:ascii="Calibri" w:cs="Calibri" w:eastAsia="Calibri" w:hAnsi="Calibri"/>
          <w:b/>
          <w:bCs/>
          <w:sz w:val="21"/>
          <w:szCs w:val="21"/>
        </w:rPr>
        <w:t xml:space="preserve">Check it</w:t>
      </w:r>
      <w:r>
        <w:rPr>
          <w:rFonts w:ascii="Calibri" w:cs="Calibri" w:eastAsia="Calibri" w:hAnsi="Calibri"/>
          <w:sz w:val="21"/>
          <w:szCs w:val="21"/>
        </w:rPr>
        <w:t xml:space="preserve"> — if contributions have not been made you should know now, not at the end.</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On leaving, your benefit is dealt with through the scheme, not paid by the Company as a gratuity.</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The contribution rate is based on </w:t>
      </w:r>
      <w:r>
        <w:rPr>
          <w:rFonts w:ascii="Calibri" w:cs="Calibri" w:eastAsia="Calibri" w:hAnsi="Calibri"/>
          <w:b/>
          <w:bCs/>
          <w:sz w:val="21"/>
          <w:szCs w:val="21"/>
        </w:rPr>
        <w:t xml:space="preserve">basic salary</w:t>
      </w:r>
      <w:r>
        <w:rPr>
          <w:rFonts w:ascii="Calibri" w:cs="Calibri" w:eastAsia="Calibri" w:hAnsi="Calibri"/>
          <w:sz w:val="21"/>
          <w:szCs w:val="21"/>
        </w:rPr>
        <w:t xml:space="preserve">, not total package.</w:t>
      </w:r>
    </w:p>
    <w:p>
      <w:pPr>
        <w:keepNext/>
        <w:spacing w:after="120" w:before="280"/>
        <w:outlineLvl w:val="0"/>
      </w:pPr>
      <w:r>
        <w:rPr>
          <w:rFonts w:ascii="Calibri" w:cs="Calibri" w:eastAsia="Calibri" w:hAnsi="Calibri"/>
          <w:b/>
          <w:bCs/>
          <w:color w:val="14161B"/>
          <w:sz w:val="22"/>
          <w:szCs w:val="22"/>
        </w:rPr>
        <w:t xml:space="preserve">4. WORKING HERE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Working hours are </w:t>
      </w:r>
      <w:r>
        <w:rPr>
          <w:rFonts w:ascii="Calibri" w:cs="Calibri" w:eastAsia="Calibri" w:hAnsi="Calibri"/>
          <w:b/>
          <w:bCs/>
          <w:sz w:val="21"/>
          <w:szCs w:val="21"/>
        </w:rPr>
        <w:t xml:space="preserve">[HOURS]</w:t>
      </w:r>
      <w:r>
        <w:rPr>
          <w:rFonts w:ascii="Calibri" w:cs="Calibri" w:eastAsia="Calibri" w:hAnsi="Calibri"/>
          <w:sz w:val="21"/>
          <w:szCs w:val="21"/>
        </w:rPr>
        <w:t xml:space="preserve"> per week, </w:t>
      </w:r>
      <w:r>
        <w:rPr>
          <w:rFonts w:ascii="Calibri" w:cs="Calibri" w:eastAsia="Calibri" w:hAnsi="Calibri"/>
          <w:b/>
          <w:bCs/>
          <w:sz w:val="21"/>
          <w:szCs w:val="21"/>
        </w:rPr>
        <w:t xml:space="preserve">[with the limits and rest entitlements the law provides]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You are entitled to </w:t>
      </w:r>
      <w:r>
        <w:rPr>
          <w:rFonts w:ascii="Calibri" w:cs="Calibri" w:eastAsia="Calibri" w:hAnsi="Calibri"/>
          <w:b/>
          <w:bCs/>
          <w:sz w:val="21"/>
          <w:szCs w:val="21"/>
        </w:rPr>
        <w:t xml:space="preserve">[NUMBER]</w:t>
      </w:r>
      <w:r>
        <w:rPr>
          <w:rFonts w:ascii="Calibri" w:cs="Calibri" w:eastAsia="Calibri" w:hAnsi="Calibri"/>
          <w:sz w:val="21"/>
          <w:szCs w:val="21"/>
        </w:rPr>
        <w:t xml:space="preserve"> working days of annual leave per year, plus public holidays. Requests go through </w:t>
      </w:r>
      <w:r>
        <w:rPr>
          <w:rFonts w:ascii="Calibri" w:cs="Calibri" w:eastAsia="Calibri" w:hAnsi="Calibri"/>
          <w:b/>
          <w:bCs/>
          <w:sz w:val="21"/>
          <w:szCs w:val="21"/>
        </w:rPr>
        <w:t xml:space="preserve">[SYSTEM]</w:t>
      </w:r>
      <w:r>
        <w:rPr>
          <w:rFonts w:ascii="Calibri" w:cs="Calibri" w:eastAsia="Calibri" w:hAnsi="Calibri"/>
          <w:sz w:val="21"/>
          <w:szCs w:val="21"/>
        </w:rPr>
        <w:t xml:space="preserve"> with </w:t>
      </w:r>
      <w:r>
        <w:rPr>
          <w:rFonts w:ascii="Calibri" w:cs="Calibri" w:eastAsia="Calibri" w:hAnsi="Calibri"/>
          <w:b/>
          <w:bCs/>
          <w:sz w:val="21"/>
          <w:szCs w:val="21"/>
        </w:rPr>
        <w:t xml:space="preserve">[14]</w:t>
      </w:r>
      <w:r>
        <w:rPr>
          <w:rFonts w:ascii="Calibri" w:cs="Calibri" w:eastAsia="Calibri" w:hAnsi="Calibri"/>
          <w:sz w:val="21"/>
          <w:szCs w:val="21"/>
        </w:rPr>
        <w:t xml:space="preserve"> days notice.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Sick leave, maternity, paternity and other statutory leave are provided in accordance with the applicable zone law. </w:t>
      </w:r>
      <w:r>
        <w:rPr>
          <w:rFonts w:ascii="Calibri" w:cs="Calibri" w:eastAsia="Calibri" w:hAnsi="Calibri"/>
          <w:b/>
          <w:bCs/>
          <w:sz w:val="21"/>
          <w:szCs w:val="21"/>
        </w:rPr>
        <w:t xml:space="preserve">[Details in Schedule 1.]</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Your notice period is as stated in your contract, subject to the statutory minimum for your length of service.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Salary is paid monthly, </w:t>
      </w:r>
      <w:r>
        <w:rPr>
          <w:rFonts w:ascii="Calibri" w:cs="Calibri" w:eastAsia="Calibri" w:hAnsi="Calibri"/>
          <w:b/>
          <w:bCs/>
          <w:sz w:val="21"/>
          <w:szCs w:val="21"/>
        </w:rPr>
        <w:t xml:space="preserve">[through the applicable wage arrangement]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4.6	</w:t>
      </w:r>
      <w:r>
        <w:rPr>
          <w:rFonts w:ascii="Calibri" w:cs="Calibri" w:eastAsia="Calibri" w:hAnsi="Calibri"/>
          <w:sz w:val="21"/>
          <w:szCs w:val="21"/>
        </w:rPr>
        <w:t xml:space="preserve">The Company provides </w:t>
      </w:r>
      <w:r>
        <w:rPr>
          <w:rFonts w:ascii="Calibri" w:cs="Calibri" w:eastAsia="Calibri" w:hAnsi="Calibri"/>
          <w:b/>
          <w:bCs/>
          <w:sz w:val="21"/>
          <w:szCs w:val="21"/>
        </w:rPr>
        <w:t xml:space="preserve">health insurance</w:t>
      </w:r>
      <w:r>
        <w:rPr>
          <w:rFonts w:ascii="Calibri" w:cs="Calibri" w:eastAsia="Calibri" w:hAnsi="Calibri"/>
          <w:sz w:val="21"/>
          <w:szCs w:val="21"/>
        </w:rPr>
        <w:t xml:space="preserve"> and sponsors your residence visa where applicable.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CONDUCT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We expect integrity, respect for colleagues and clients, and compliance with the law and our policies.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Anti-discrimination and harassment.</w:t>
      </w:r>
      <w:r>
        <w:rPr>
          <w:rFonts w:ascii="Calibri" w:cs="Calibri" w:eastAsia="Calibri" w:hAnsi="Calibri"/>
          <w:sz w:val="21"/>
          <w:szCs w:val="21"/>
        </w:rPr>
        <w:t xml:space="preserve"> We do not tolerate discrimination or harassment. Concerns are raised under Section 6.</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UAE law still applies to you outside the zone.</w:t>
      </w:r>
      <w:r>
        <w:rPr>
          <w:rFonts w:ascii="Calibri" w:cs="Calibri" w:eastAsia="Calibri" w:hAnsi="Calibri"/>
          <w:sz w:val="21"/>
          <w:szCs w:val="21"/>
        </w:rPr>
        <w:t xml:space="preserve"> Although you work under </w:t>
      </w:r>
      <w:r>
        <w:rPr>
          <w:rFonts w:ascii="Calibri" w:cs="Calibri" w:eastAsia="Calibri" w:hAnsi="Calibri"/>
          <w:b/>
          <w:bCs/>
          <w:sz w:val="21"/>
          <w:szCs w:val="21"/>
        </w:rPr>
        <w:t xml:space="preserve">[DIFC / ADGM]</w:t>
      </w:r>
      <w:r>
        <w:rPr>
          <w:rFonts w:ascii="Calibri" w:cs="Calibri" w:eastAsia="Calibri" w:hAnsi="Calibri"/>
          <w:sz w:val="21"/>
          <w:szCs w:val="21"/>
        </w:rPr>
        <w:t xml:space="preserve"> employment law, conduct elsewhere in the UAE — including public behaviour and online — is subject to UAE law and can affect your residence status.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Conflicts of interest must be disclosed in writing to </w:t>
      </w:r>
      <w:r>
        <w:rPr>
          <w:rFonts w:ascii="Calibri" w:cs="Calibri" w:eastAsia="Calibri" w:hAnsi="Calibri"/>
          <w:b/>
          <w:bCs/>
          <w:sz w:val="21"/>
          <w:szCs w:val="21"/>
        </w:rPr>
        <w:t xml:space="preserve">[ROLE]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Confidentiality obligations continue after your employment ends.</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sz w:val="21"/>
          <w:szCs w:val="21"/>
        </w:rPr>
        <w:t xml:space="preserve">Personal data must be handled in accordance with our data protection policy under the </w:t>
      </w:r>
      <w:r>
        <w:rPr>
          <w:rFonts w:ascii="Calibri" w:cs="Calibri" w:eastAsia="Calibri" w:hAnsi="Calibri"/>
          <w:b/>
          <w:bCs/>
          <w:sz w:val="21"/>
          <w:szCs w:val="21"/>
        </w:rPr>
        <w:t xml:space="preserve">[DIFC / ADGM]</w:t>
      </w:r>
      <w:r>
        <w:rPr>
          <w:rFonts w:ascii="Calibri" w:cs="Calibri" w:eastAsia="Calibri" w:hAnsi="Calibri"/>
          <w:sz w:val="21"/>
          <w:szCs w:val="21"/>
        </w:rPr>
        <w:t xml:space="preserve"> regime. Report any suspected breach immediately.</w:t>
      </w:r>
    </w:p>
    <w:p>
      <w:pPr>
        <w:keepNext/>
        <w:spacing w:after="120" w:before="280"/>
        <w:outlineLvl w:val="0"/>
      </w:pPr>
      <w:r>
        <w:rPr>
          <w:rFonts w:ascii="Calibri" w:cs="Calibri" w:eastAsia="Calibri" w:hAnsi="Calibri"/>
          <w:b/>
          <w:bCs/>
          <w:color w:val="14161B"/>
          <w:sz w:val="22"/>
          <w:szCs w:val="22"/>
        </w:rPr>
        <w:t xml:space="preserve">6. RAISING A CONCERN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Speak to your manager, or to </w:t>
      </w:r>
      <w:r>
        <w:rPr>
          <w:rFonts w:ascii="Calibri" w:cs="Calibri" w:eastAsia="Calibri" w:hAnsi="Calibri"/>
          <w:b/>
          <w:bCs/>
          <w:sz w:val="21"/>
          <w:szCs w:val="21"/>
        </w:rPr>
        <w:t xml:space="preserve">[NAME]</w:t>
      </w:r>
      <w:r>
        <w:rPr>
          <w:rFonts w:ascii="Calibri" w:cs="Calibri" w:eastAsia="Calibri" w:hAnsi="Calibri"/>
          <w:sz w:val="21"/>
          <w:szCs w:val="21"/>
        </w:rPr>
        <w:t xml:space="preserve"> where that is not appropriate.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Concerns are acknowledged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 and investigated fairly.</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We will not retaliate against anyone who raises a genuine concern.</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An unresolved employment dispute may be brought before the </w:t>
      </w:r>
      <w:r>
        <w:rPr>
          <w:rFonts w:ascii="Calibri" w:cs="Calibri" w:eastAsia="Calibri" w:hAnsi="Calibri"/>
          <w:b/>
          <w:bCs/>
          <w:sz w:val="21"/>
          <w:szCs w:val="21"/>
        </w:rPr>
        <w:t xml:space="preserve">[DIFC / ADGM]</w:t>
      </w:r>
      <w:r>
        <w:rPr>
          <w:rFonts w:ascii="Calibri" w:cs="Calibri" w:eastAsia="Calibri" w:hAnsi="Calibri"/>
          <w:b/>
          <w:bCs/>
          <w:sz w:val="21"/>
          <w:szCs w:val="21"/>
        </w:rPr>
        <w:t xml:space="preserve"> Courts</w:t>
      </w:r>
      <w:r>
        <w:rPr>
          <w:rFonts w:ascii="Calibri" w:cs="Calibri" w:eastAsia="Calibri" w:hAnsi="Calibri"/>
          <w:sz w:val="21"/>
          <w:szCs w:val="21"/>
        </w:rPr>
        <w:t xml:space="preserve">, which operate in English under common law procedure.</w:t>
      </w:r>
    </w:p>
    <w:p>
      <w:pPr>
        <w:keepNext/>
        <w:spacing w:after="120" w:before="280"/>
        <w:outlineLvl w:val="0"/>
      </w:pPr>
      <w:r>
        <w:rPr>
          <w:rFonts w:ascii="Calibri" w:cs="Calibri" w:eastAsia="Calibri" w:hAnsi="Calibri"/>
          <w:b/>
          <w:bCs/>
          <w:color w:val="14161B"/>
          <w:sz w:val="22"/>
          <w:szCs w:val="22"/>
        </w:rPr>
        <w:t xml:space="preserve">7. LEAVING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011"/>
        <w:gridCol w:w="4242"/>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42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Notice given per your contract and the statutory minimum</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Either party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Handover completed; Company property returned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your last day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Final salary, accrued leave and any notice payment settled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Late payment carries a statutory penalty in DIFC</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Scheme contributions confirmed up to date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Check the balance yourself</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Your scheme benefit dealt with through the administrator</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paid by the Company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permit and residence visa cancelled where sponsored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settlement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Health insurance ends on the correct date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You will be told when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Access revoked; company card cancelled</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Last working day</w:t>
            </w:r>
          </w:p>
        </w:tc>
      </w:tr>
    </w:tbl>
    <w:p>
      <w:pPr>
        <w:spacing w:after="140"/>
      </w:pP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b/>
          <w:bCs/>
          <w:sz w:val="21"/>
          <w:szCs w:val="21"/>
        </w:rPr>
        <w:t xml:space="preserve">Late payment of final entitlements attracts a daily statutory penalty in DIFC.</w:t>
      </w:r>
      <w:r>
        <w:rPr>
          <w:rFonts w:ascii="Calibri" w:cs="Calibri" w:eastAsia="Calibri" w:hAnsi="Calibri"/>
          <w:sz w:val="21"/>
          <w:szCs w:val="21"/>
        </w:rPr>
        <w:t xml:space="preserve"> We settle promptly, and you should tell us immediately if anything is outstanding.</w:t>
      </w:r>
    </w:p>
    <w:p>
      <w:pPr>
        <w:keepNext/>
        <w:spacing w:after="120" w:before="280"/>
        <w:outlineLvl w:val="0"/>
      </w:pPr>
      <w:r>
        <w:rPr>
          <w:rFonts w:ascii="Calibri" w:cs="Calibri" w:eastAsia="Calibri" w:hAnsi="Calibri"/>
          <w:b/>
          <w:bCs/>
          <w:color w:val="14161B"/>
          <w:sz w:val="22"/>
          <w:szCs w:val="22"/>
        </w:rPr>
        <w:t xml:space="preserve">8. IF YOU MOVE WITHIN THE GROUP</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Moving to a group company outside </w:t>
      </w:r>
      <w:r>
        <w:rPr>
          <w:rFonts w:ascii="Calibri" w:cs="Calibri" w:eastAsia="Calibri" w:hAnsi="Calibri"/>
          <w:b/>
          <w:bCs/>
          <w:sz w:val="21"/>
          <w:szCs w:val="21"/>
        </w:rPr>
        <w:t xml:space="preserve">[DIFC / ADGM]</w:t>
      </w:r>
      <w:r>
        <w:rPr>
          <w:rFonts w:ascii="Calibri" w:cs="Calibri" w:eastAsia="Calibri" w:hAnsi="Calibri"/>
          <w:sz w:val="21"/>
          <w:szCs w:val="21"/>
        </w:rPr>
        <w:t xml:space="preserve"> — to a mainland or free zone entity — is </w:t>
      </w:r>
      <w:r>
        <w:rPr>
          <w:rFonts w:ascii="Calibri" w:cs="Calibri" w:eastAsia="Calibri" w:hAnsi="Calibri"/>
          <w:b/>
          <w:bCs/>
          <w:sz w:val="21"/>
          <w:szCs w:val="21"/>
        </w:rPr>
        <w:t xml:space="preserve">not an internal transfer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Your employment here ends, your scheme benefit is dealt with, and new employment begins with the other entity under a different law, with </w:t>
      </w:r>
      <w:r>
        <w:rPr>
          <w:rFonts w:ascii="Calibri" w:cs="Calibri" w:eastAsia="Calibri" w:hAnsi="Calibri"/>
          <w:b/>
          <w:bCs/>
          <w:sz w:val="21"/>
          <w:szCs w:val="21"/>
        </w:rPr>
        <w:t xml:space="preserve">gratuity accrual instead of scheme contributions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Your work permit and visa change, and your entitlements are settled before the move.</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i/>
          <w:iCs/>
          <w:sz w:val="21"/>
          <w:szCs w:val="21"/>
        </w:rPr>
        <w:t xml:space="preserve">Ask before agreeing to a move. The two regimes calculate end of service completely differently, and a transfer handled as an administrative change can leave a benefit unsettled.</w:t>
      </w:r>
    </w:p>
    <w:p>
      <w:pPr>
        <w:spacing w:after="160"/>
      </w:pPr>
    </w:p>
    <w:p>
      <w:pPr>
        <w:spacing w:after="15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that I have received this handbook and understand that it is not part of my contract of employment.</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mainland handbook is the wrong document here</w:t>
      </w:r>
    </w:p>
    <w:p>
      <w:pPr>
        <w:spacing w:after="60" w:line="264"/>
        <w:jc w:val="both"/>
      </w:pPr>
      <w:r>
        <w:rPr>
          <w:rFonts w:ascii="Calibri" w:cs="Calibri" w:eastAsia="Calibri" w:hAnsi="Calibri"/>
          <w:sz w:val="19"/>
          <w:szCs w:val="19"/>
        </w:rPr>
        <w:t xml:space="preserve">DIFC and ADGM operate their own employment laws with different notice periods, leave entitlements, end-of-service arrangements and dispute routes. Adapting a mainland handbook by changing the header produces a document wrong on several terms at once and defensible on none.</w:t>
      </w:r>
    </w:p>
    <w:p>
      <w:pPr>
        <w:keepNext/>
        <w:spacing w:after="40" w:before="140"/>
      </w:pPr>
      <w:r>
        <w:rPr>
          <w:rFonts w:ascii="Calibri" w:cs="Calibri" w:eastAsia="Calibri" w:hAnsi="Calibri"/>
          <w:b/>
          <w:bCs/>
          <w:color w:val="14161B"/>
          <w:sz w:val="20"/>
          <w:szCs w:val="20"/>
        </w:rPr>
        <w:t xml:space="preserve">Explain the scheme properly to employees</w:t>
      </w:r>
    </w:p>
    <w:p>
      <w:pPr>
        <w:spacing w:after="60" w:line="264"/>
        <w:jc w:val="both"/>
      </w:pPr>
      <w:r>
        <w:rPr>
          <w:rFonts w:ascii="Calibri" w:cs="Calibri" w:eastAsia="Calibri" w:hAnsi="Calibri"/>
          <w:sz w:val="19"/>
          <w:szCs w:val="19"/>
        </w:rPr>
        <w:t xml:space="preserve">Staff arriving from elsewhere in the UAE expect a gratuity calculated at exit. Here the benefit is built monthly in their name and does not depend on the employer having cash at the end. Say so plainly — it is a genuine advantage and it is routinely not explained.</w:t>
      </w:r>
    </w:p>
    <w:p>
      <w:pPr>
        <w:keepNext/>
        <w:spacing w:after="40" w:before="140"/>
      </w:pPr>
      <w:r>
        <w:rPr>
          <w:rFonts w:ascii="Calibri" w:cs="Calibri" w:eastAsia="Calibri" w:hAnsi="Calibri"/>
          <w:b/>
          <w:bCs/>
          <w:color w:val="14161B"/>
          <w:sz w:val="20"/>
          <w:szCs w:val="20"/>
        </w:rPr>
        <w:t xml:space="preserve">Tell employees to check their balance</w:t>
      </w:r>
    </w:p>
    <w:p>
      <w:pPr>
        <w:spacing w:after="60" w:line="264"/>
        <w:jc w:val="both"/>
      </w:pPr>
      <w:r>
        <w:rPr>
          <w:rFonts w:ascii="Calibri" w:cs="Calibri" w:eastAsia="Calibri" w:hAnsi="Calibri"/>
          <w:sz w:val="19"/>
          <w:szCs w:val="19"/>
        </w:rPr>
        <w:t xml:space="preserve">The most common failure in these zones is an employer that enrolled staff and then missed contributions after a payroll change or a finance handover. An employee who checks the portal will find it long before an exit calculation does.</w:t>
      </w:r>
    </w:p>
    <w:p>
      <w:pPr>
        <w:keepNext/>
        <w:spacing w:after="40" w:before="140"/>
      </w:pPr>
      <w:r>
        <w:rPr>
          <w:rFonts w:ascii="Calibri" w:cs="Calibri" w:eastAsia="Calibri" w:hAnsi="Calibri"/>
          <w:b/>
          <w:bCs/>
          <w:color w:val="14161B"/>
          <w:sz w:val="20"/>
          <w:szCs w:val="20"/>
        </w:rPr>
        <w:t xml:space="preserve">Contributions are on basic salary</w:t>
      </w:r>
    </w:p>
    <w:p>
      <w:pPr>
        <w:spacing w:after="60" w:line="264"/>
        <w:jc w:val="both"/>
      </w:pPr>
      <w:r>
        <w:rPr>
          <w:rFonts w:ascii="Calibri" w:cs="Calibri" w:eastAsia="Calibri" w:hAnsi="Calibri"/>
          <w:sz w:val="19"/>
          <w:szCs w:val="19"/>
        </w:rPr>
        <w:t xml:space="preserve">As with mainland gratuity, the base is basic salary rather than total package, so the basic-to-allowance split has a direct monthly cost consequence here rather than a deferred one. Be transparent about it at offer stage.</w:t>
      </w:r>
    </w:p>
    <w:p>
      <w:pPr>
        <w:keepNext/>
        <w:spacing w:after="40" w:before="140"/>
      </w:pPr>
      <w:r>
        <w:rPr>
          <w:rFonts w:ascii="Calibri" w:cs="Calibri" w:eastAsia="Calibri" w:hAnsi="Calibri"/>
          <w:b/>
          <w:bCs/>
          <w:color w:val="14161B"/>
          <w:sz w:val="20"/>
          <w:szCs w:val="20"/>
        </w:rPr>
        <w:t xml:space="preserve">Watch the five-year rate step</w:t>
      </w:r>
    </w:p>
    <w:p>
      <w:pPr>
        <w:spacing w:after="60" w:line="264"/>
        <w:jc w:val="both"/>
      </w:pPr>
      <w:r>
        <w:rPr>
          <w:rFonts w:ascii="Calibri" w:cs="Calibri" w:eastAsia="Calibri" w:hAnsi="Calibri"/>
          <w:sz w:val="19"/>
          <w:szCs w:val="19"/>
        </w:rPr>
        <w:t xml:space="preserve">The contribution rate increases with length of service. Employers set the initial rate and never revisit it, underpaying quietly for years. Diarise each employee’s service anniversary.</w:t>
      </w:r>
    </w:p>
    <w:p>
      <w:pPr>
        <w:keepNext/>
        <w:spacing w:after="40" w:before="140"/>
      </w:pPr>
      <w:r>
        <w:rPr>
          <w:rFonts w:ascii="Calibri" w:cs="Calibri" w:eastAsia="Calibri" w:hAnsi="Calibri"/>
          <w:b/>
          <w:bCs/>
          <w:color w:val="14161B"/>
          <w:sz w:val="20"/>
          <w:szCs w:val="20"/>
        </w:rPr>
        <w:t xml:space="preserve">Contracts need not be fixed term</w:t>
      </w:r>
    </w:p>
    <w:p>
      <w:pPr>
        <w:spacing w:after="60" w:line="264"/>
        <w:jc w:val="both"/>
      </w:pPr>
      <w:r>
        <w:rPr>
          <w:rFonts w:ascii="Calibri" w:cs="Calibri" w:eastAsia="Calibri" w:hAnsi="Calibri"/>
          <w:sz w:val="19"/>
          <w:szCs w:val="19"/>
        </w:rPr>
        <w:t xml:space="preserve">The mainland requirement that all contracts be fixed term does not apply. Indefinite contracts are available and are one of the practical attractions of these zones for senior hires.</w:t>
      </w:r>
    </w:p>
    <w:p>
      <w:pPr>
        <w:keepNext/>
        <w:spacing w:after="40" w:before="140"/>
      </w:pPr>
      <w:r>
        <w:rPr>
          <w:rFonts w:ascii="Calibri" w:cs="Calibri" w:eastAsia="Calibri" w:hAnsi="Calibri"/>
          <w:b/>
          <w:bCs/>
          <w:color w:val="14161B"/>
          <w:sz w:val="20"/>
          <w:szCs w:val="20"/>
        </w:rPr>
        <w:t xml:space="preserve">Late final payment carries a daily penalty in DIFC</w:t>
      </w:r>
    </w:p>
    <w:p>
      <w:pPr>
        <w:spacing w:after="60" w:line="264"/>
        <w:jc w:val="both"/>
      </w:pPr>
      <w:r>
        <w:rPr>
          <w:rFonts w:ascii="Calibri" w:cs="Calibri" w:eastAsia="Calibri" w:hAnsi="Calibri"/>
          <w:sz w:val="19"/>
          <w:szCs w:val="19"/>
        </w:rPr>
        <w:t xml:space="preserve">A statutory penalty accrues daily where final entitlements are not paid on time, and it compounds. This is harder-edged than the mainland fourteen-day rule. Settle promptly and keep evidence of payment.</w:t>
      </w:r>
    </w:p>
    <w:p>
      <w:pPr>
        <w:keepNext/>
        <w:spacing w:after="40" w:before="140"/>
      </w:pPr>
      <w:r>
        <w:rPr>
          <w:rFonts w:ascii="Calibri" w:cs="Calibri" w:eastAsia="Calibri" w:hAnsi="Calibri"/>
          <w:b/>
          <w:bCs/>
          <w:color w:val="14161B"/>
          <w:sz w:val="20"/>
          <w:szCs w:val="20"/>
        </w:rPr>
        <w:t xml:space="preserve">UAE law still reaches employees outside the zone</w:t>
      </w:r>
    </w:p>
    <w:p>
      <w:pPr>
        <w:spacing w:after="60" w:line="264"/>
        <w:jc w:val="both"/>
      </w:pPr>
      <w:r>
        <w:rPr>
          <w:rFonts w:ascii="Calibri" w:cs="Calibri" w:eastAsia="Calibri" w:hAnsi="Calibri"/>
          <w:sz w:val="19"/>
          <w:szCs w:val="19"/>
        </w:rPr>
        <w:t xml:space="preserve">Working under zone employment law does not change the position on conduct elsewhere in the UAE, including public behaviour and online activity, which can affect residence status. Employees frequently assume the zone insulates them. Say it once, plainly.</w:t>
      </w:r>
    </w:p>
    <w:p>
      <w:pPr>
        <w:keepNext/>
        <w:spacing w:after="40" w:before="140"/>
      </w:pPr>
      <w:r>
        <w:rPr>
          <w:rFonts w:ascii="Calibri" w:cs="Calibri" w:eastAsia="Calibri" w:hAnsi="Calibri"/>
          <w:b/>
          <w:bCs/>
          <w:color w:val="14161B"/>
          <w:sz w:val="20"/>
          <w:szCs w:val="20"/>
        </w:rPr>
        <w:t xml:space="preserve">Emiratisation and ILOE differ</w:t>
      </w:r>
    </w:p>
    <w:p>
      <w:pPr>
        <w:spacing w:after="60" w:line="264"/>
        <w:jc w:val="both"/>
      </w:pPr>
      <w:r>
        <w:rPr>
          <w:rFonts w:ascii="Calibri" w:cs="Calibri" w:eastAsia="Calibri" w:hAnsi="Calibri"/>
          <w:sz w:val="19"/>
          <w:szCs w:val="19"/>
        </w:rPr>
        <w:t xml:space="preserve">Emiratisation obligations do not attach here and ILOE subscription is optional rather than mandatory. Both are genuine differences that belong in a handbook so employees are not applying mainland assumptions.</w:t>
      </w:r>
    </w:p>
    <w:p>
      <w:pPr>
        <w:keepNext/>
        <w:spacing w:after="40" w:before="140"/>
      </w:pPr>
      <w:r>
        <w:rPr>
          <w:rFonts w:ascii="Calibri" w:cs="Calibri" w:eastAsia="Calibri" w:hAnsi="Calibri"/>
          <w:b/>
          <w:bCs/>
          <w:color w:val="14161B"/>
          <w:sz w:val="20"/>
          <w:szCs w:val="20"/>
        </w:rPr>
        <w:t xml:space="preserve">Use the right data protection regime</w:t>
      </w:r>
    </w:p>
    <w:p>
      <w:pPr>
        <w:spacing w:after="60" w:line="264"/>
        <w:jc w:val="both"/>
      </w:pPr>
      <w:r>
        <w:rPr>
          <w:rFonts w:ascii="Calibri" w:cs="Calibri" w:eastAsia="Calibri" w:hAnsi="Calibri"/>
          <w:sz w:val="19"/>
          <w:szCs w:val="19"/>
        </w:rPr>
        <w:t xml:space="preserve">DIFC entities follow DIFC Law 5/2020 and ADGM entities the ADGM Regulations. Referring employees to a federal PDPL policy points them at the wrong law, the wrong regulator and the wrong rights.</w:t>
      </w:r>
    </w:p>
    <w:p>
      <w:pPr>
        <w:keepNext/>
        <w:spacing w:after="40" w:before="140"/>
      </w:pPr>
      <w:r>
        <w:rPr>
          <w:rFonts w:ascii="Calibri" w:cs="Calibri" w:eastAsia="Calibri" w:hAnsi="Calibri"/>
          <w:b/>
          <w:bCs/>
          <w:color w:val="14161B"/>
          <w:sz w:val="20"/>
          <w:szCs w:val="20"/>
        </w:rPr>
        <w:t xml:space="preserve">A group move is a termination and rehire</w:t>
      </w:r>
    </w:p>
    <w:p>
      <w:pPr>
        <w:spacing w:after="60" w:line="264"/>
        <w:jc w:val="both"/>
      </w:pPr>
      <w:r>
        <w:rPr>
          <w:rFonts w:ascii="Calibri" w:cs="Calibri" w:eastAsia="Calibri" w:hAnsi="Calibri"/>
          <w:sz w:val="19"/>
          <w:szCs w:val="19"/>
        </w:rPr>
        <w:t xml:space="preserve">Moving an employee from a DIFC entity to a mainland affiliate ends the zone employment. The scheme benefit must be dealt with, gratuity accrual begins under the other regime, and the permit and visa change. Groups treat this as an internal transfer and leave benefits unsettled.</w:t>
      </w:r>
    </w:p>
    <w:p>
      <w:pPr>
        <w:keepNext/>
        <w:spacing w:after="40" w:before="140"/>
      </w:pPr>
      <w:r>
        <w:rPr>
          <w:rFonts w:ascii="Calibri" w:cs="Calibri" w:eastAsia="Calibri" w:hAnsi="Calibri"/>
          <w:b/>
          <w:bCs/>
          <w:color w:val="14161B"/>
          <w:sz w:val="20"/>
          <w:szCs w:val="20"/>
        </w:rPr>
        <w:t xml:space="preserve">Disputes go to the zone courts, in English</w:t>
      </w:r>
    </w:p>
    <w:p>
      <w:pPr>
        <w:spacing w:after="60" w:line="264"/>
        <w:jc w:val="both"/>
      </w:pPr>
      <w:r>
        <w:rPr>
          <w:rFonts w:ascii="Calibri" w:cs="Calibri" w:eastAsia="Calibri" w:hAnsi="Calibri"/>
          <w:sz w:val="19"/>
          <w:szCs w:val="19"/>
        </w:rPr>
        <w:t xml:space="preserve">Not to MOHRE. The procedure is common law with disclosure and witness evidence, which is a materially different experience from an onshore employment claim. Employees and managers both benefit from knowing this in advance.</w:t>
      </w:r>
    </w:p>
    <w:p>
      <w:pPr>
        <w:keepNext/>
        <w:spacing w:after="40" w:before="140"/>
      </w:pPr>
      <w:r>
        <w:rPr>
          <w:rFonts w:ascii="Calibri" w:cs="Calibri" w:eastAsia="Calibri" w:hAnsi="Calibri"/>
          <w:b/>
          <w:bCs/>
          <w:color w:val="14161B"/>
          <w:sz w:val="20"/>
          <w:szCs w:val="20"/>
        </w:rPr>
        <w:t xml:space="preserve">Confirm ADGM specifics separately</w:t>
      </w:r>
    </w:p>
    <w:p>
      <w:pPr>
        <w:spacing w:after="60" w:line="264"/>
        <w:jc w:val="both"/>
      </w:pPr>
      <w:r>
        <w:rPr>
          <w:rFonts w:ascii="Calibri" w:cs="Calibri" w:eastAsia="Calibri" w:hAnsi="Calibri"/>
          <w:sz w:val="19"/>
          <w:szCs w:val="19"/>
        </w:rPr>
        <w:t xml:space="preserve">ADGM operates its own end-of-service arrangement and its rules are not identical to DIFC. Do not assume DEWS rates and mechanics transfer — confirm with the relevant authority for the specific zone.</w:t>
      </w:r>
    </w:p>
    <w:p>
      <w:pPr>
        <w:keepNext/>
        <w:spacing w:after="40" w:before="140"/>
      </w:pPr>
      <w:r>
        <w:rPr>
          <w:rFonts w:ascii="Calibri" w:cs="Calibri" w:eastAsia="Calibri" w:hAnsi="Calibri"/>
          <w:b/>
          <w:bCs/>
          <w:color w:val="14161B"/>
          <w:sz w:val="20"/>
          <w:szCs w:val="20"/>
        </w:rPr>
        <w:t xml:space="preserve">Keep it non-contractual</w:t>
      </w:r>
    </w:p>
    <w:p>
      <w:pPr>
        <w:spacing w:after="60" w:line="264"/>
        <w:jc w:val="both"/>
      </w:pPr>
      <w:r>
        <w:rPr>
          <w:rFonts w:ascii="Calibri" w:cs="Calibri" w:eastAsia="Calibri" w:hAnsi="Calibri"/>
          <w:sz w:val="19"/>
          <w:szCs w:val="19"/>
        </w:rPr>
        <w:t xml:space="preserve">A handbook expressed as contractual turns every policy into a term requiring consent to change. Say it is guidance, and keep genuinely contractual items in the contract.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DIFC and ADGM positions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Employment laws in both zones have been amended, and scheme rates, qualifying scheme rules, leave entitlements, notice periods and penalty provisions change — confirm with the DIFC Authority, ADGM Registration Authority or a zone employment adviser before issuing.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2026-08-23T16:28:36.582Z</dcterms:created>
  <dcterms:modified xsi:type="dcterms:W3CDTF">2026-08-23T16:28:36.582Z</dcterms:modified>
</cp:coreProperties>
</file>

<file path=docProps/custom.xml><?xml version="1.0" encoding="utf-8"?>
<Properties xmlns="http://schemas.openxmlformats.org/officeDocument/2006/custom-properties" xmlns:vt="http://schemas.openxmlformats.org/officeDocument/2006/docPropsVTypes"/>
</file>