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DIFC AND ADGM EMPLOYMENT</w:t>
      </w:r>
    </w:p>
    <w:p>
      <w:pPr>
        <w:spacing w:after="260"/>
        <w:jc w:val="center"/>
      </w:pPr>
      <w:r>
        <w:rPr>
          <w:rFonts w:ascii="Calibri" w:cs="Calibri" w:eastAsia="Calibri" w:hAnsi="Calibri"/>
          <w:i/>
          <w:iCs/>
          <w:color w:val="6E7480"/>
          <w:sz w:val="19"/>
          <w:szCs w:val="19"/>
        </w:rPr>
        <w:t xml:space="preserve">Contract and the funded end-of-service schemes</w:t>
      </w:r>
    </w:p>
    <w:p>
      <w:pPr>
        <w:spacing w:after="180" w:before="0" w:line="276"/>
        <w:jc w:val="both"/>
      </w:pPr>
      <w:r>
        <w:rPr>
          <w:rFonts w:ascii="Calibri" w:cs="Calibri" w:eastAsia="Calibri" w:hAnsi="Calibri"/>
          <w:i/>
          <w:iCs/>
          <w:color w:val="6E7480"/>
          <w:sz w:val="21"/>
          <w:szCs w:val="21"/>
        </w:rPr>
        <w:t xml:space="preserve">If you are hiring into DIFC or ADGM, a MOHRE contract is the wrong document. These are separate common-law jurisdictions with their own employment statutes, their own courts, and — the point that catches employers — </w:t>
      </w:r>
      <w:r>
        <w:rPr>
          <w:rFonts w:ascii="Calibri" w:cs="Calibri" w:eastAsia="Calibri" w:hAnsi="Calibri"/>
          <w:b/>
          <w:bCs/>
          <w:i/>
          <w:iCs/>
          <w:color w:val="6E7480"/>
          <w:sz w:val="21"/>
          <w:szCs w:val="21"/>
        </w:rPr>
        <w:t xml:space="preserve">funded end-of-service schemes with monthly contributions instead of accrued gratuity</w:t>
      </w:r>
      <w:r>
        <w:rPr>
          <w:rFonts w:ascii="Calibri" w:cs="Calibri" w:eastAsia="Calibri" w:hAnsi="Calibri"/>
          <w:i/>
          <w:iCs/>
          <w:color w:val="6E7480"/>
          <w:sz w:val="21"/>
          <w:szCs w:val="21"/>
        </w:rPr>
        <w:t xml:space="preserve">. Miss the contributions and the arrears are not forgiven.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registration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Jurisdiction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[DIFC / ADGM]</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[DIFC Employment Law / ADGM Employment Regulations]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passport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Job title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[TITLE]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Start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Contract type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[Indefinite / Fixed term]</w:t>
            </w:r>
            <w:r>
              <w:rPr>
                <w:rFonts w:ascii="Calibri" w:cs="Calibri" w:eastAsia="Calibri" w:hAnsi="Calibri"/>
                <w:sz w:val="19"/>
                <w:szCs w:val="19"/>
              </w:rPr>
              <w:t xml:space="preserve"> — </w:t>
            </w:r>
            <w:r>
              <w:rPr>
                <w:rFonts w:ascii="Calibri" w:cs="Calibri" w:eastAsia="Calibri" w:hAnsi="Calibri"/>
                <w:i/>
                <w:iCs/>
                <w:sz w:val="19"/>
                <w:szCs w:val="19"/>
              </w:rPr>
              <w:t xml:space="preserve">not restricted to fixed term as on the mainland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Probation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months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r>
              <w:rPr>
                <w:rFonts w:ascii="Calibri" w:cs="Calibri" w:eastAsia="Calibri" w:hAnsi="Calibri"/>
                <w:sz w:val="19"/>
                <w:szCs w:val="19"/>
              </w:rPr>
              <w:t xml:space="preserve">, per the statutory minimum by length of service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Basic salary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per month — </w:t>
            </w:r>
            <w:r>
              <w:rPr>
                <w:rFonts w:ascii="Calibri" w:cs="Calibri" w:eastAsia="Calibri" w:hAnsi="Calibri"/>
                <w:i/>
                <w:iCs/>
                <w:sz w:val="19"/>
                <w:szCs w:val="19"/>
              </w:rPr>
              <w:t xml:space="preserve">the contribution base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salary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per month</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End of service scheme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[DEWS / qualifying alternative scheme / ADGM arrangement]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Contribution rate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[5.83% / 8.33%]</w:t>
            </w:r>
            <w:r>
              <w:rPr>
                <w:rFonts w:ascii="Calibri" w:cs="Calibri" w:eastAsia="Calibri" w:hAnsi="Calibri"/>
                <w:sz w:val="19"/>
                <w:szCs w:val="19"/>
              </w:rPr>
              <w:t xml:space="preserve"> of monthly basic salary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Language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English</w:t>
            </w:r>
          </w:p>
        </w:tc>
      </w:tr>
    </w:tbl>
    <w:p>
      <w:pPr>
        <w:spacing w:after="180"/>
      </w:pPr>
    </w:p>
    <w:p>
      <w:pPr>
        <w:keepNext/>
        <w:spacing w:after="120" w:before="280"/>
        <w:outlineLvl w:val="0"/>
      </w:pPr>
      <w:r>
        <w:rPr>
          <w:rFonts w:ascii="Calibri" w:cs="Calibri" w:eastAsia="Calibri" w:hAnsi="Calibri"/>
          <w:b/>
          <w:bCs/>
          <w:color w:val="14161B"/>
          <w:sz w:val="22"/>
          <w:szCs w:val="22"/>
        </w:rPr>
        <w:t xml:space="preserve">1. HOW THIS DIFFERS FROM THE MAINLAND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3276"/>
        <w:gridCol w:w="4242"/>
      </w:tblGrid>
      <w:tr>
        <w:trPr>
          <w:cantSplit/>
          <w:tblHeader/>
        </w:trPr>
        <w:tc>
          <w:tcPr>
            <w:tcW w:type="dxa" w:w="2120"/>
            <w:shd w:fill="EEF1FE" w:color="auto" w:val="clear"/>
            <w:tcMar>
              <w:top w:type="dxa" w:w="70"/>
              <w:left w:type="dxa" w:w="100"/>
              <w:bottom w:type="dxa" w:w="70"/>
              <w:right w:type="dxa" w:w="100"/>
            </w:tcMar>
            <w:vAlign w:val="center"/>
          </w:tcPr>
          <w:p>
            <w:pPr>
              <w:spacing w:after="0" w:line="240"/>
              <w:jc w:val="left"/>
            </w:pP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Mainland</w:t>
            </w:r>
          </w:p>
        </w:tc>
        <w:tc>
          <w:tcPr>
            <w:tcW w:type="dxa" w:w="42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DIFC / ADGM</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Governing law</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Federal Decree-Law 33/2021</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Zone employment statute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Legal tradition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Civil law, Arabic</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English common law</w:t>
            </w:r>
            <w:r>
              <w:rPr>
                <w:rFonts w:ascii="Calibri" w:cs="Calibri" w:eastAsia="Calibri" w:hAnsi="Calibri"/>
                <w:sz w:val="18"/>
                <w:szCs w:val="18"/>
              </w:rPr>
              <w:t xml:space="preserve">, English language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Courts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MOHRE then emirate courts</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DIFC or ADGM Courts</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 type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Fixed term only</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Indefinite or fixed term</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 registration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MOHRE, within 14 days</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Zone requirements</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End of service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Gratuity accrued, paid at exit</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Funded scheme, monthly contributions</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Emiratisation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Applies</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Does not apply</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ILOE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Mandatory</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Optional</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WPS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Mandatory at 5+ employees</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Zone arrangements</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protection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Federal PDPL</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DIFC or ADGM regime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Dispute route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MOHRE mediation first</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Zone court, common-law procedure</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The end-of-service difference is the one with a cash consequence every month. A mainland employer accrues a provision; a DIFC employer must actually transfer money into a scheme.</w:t>
      </w:r>
    </w:p>
    <w:p>
      <w:pPr>
        <w:keepNext/>
        <w:spacing w:after="120" w:before="280"/>
        <w:outlineLvl w:val="0"/>
      </w:pPr>
      <w:r>
        <w:rPr>
          <w:rFonts w:ascii="Calibri" w:cs="Calibri" w:eastAsia="Calibri" w:hAnsi="Calibri"/>
          <w:b/>
          <w:bCs/>
          <w:color w:val="14161B"/>
          <w:sz w:val="22"/>
          <w:szCs w:val="22"/>
        </w:rPr>
        <w:t xml:space="preserve">2. THE FUNDED SCHEME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In DIFC, employers enrol employees in the </w:t>
      </w:r>
      <w:r>
        <w:rPr>
          <w:rFonts w:ascii="Calibri" w:cs="Calibri" w:eastAsia="Calibri" w:hAnsi="Calibri"/>
          <w:b/>
          <w:bCs/>
          <w:sz w:val="21"/>
          <w:szCs w:val="21"/>
        </w:rPr>
        <w:t xml:space="preserve">DIFC Employee Workplace Savings (DEWS)</w:t>
      </w:r>
      <w:r>
        <w:rPr>
          <w:rFonts w:ascii="Calibri" w:cs="Calibri" w:eastAsia="Calibri" w:hAnsi="Calibri"/>
          <w:sz w:val="21"/>
          <w:szCs w:val="21"/>
        </w:rPr>
        <w:t xml:space="preserve"> plan or a </w:t>
      </w:r>
      <w:r>
        <w:rPr>
          <w:rFonts w:ascii="Calibri" w:cs="Calibri" w:eastAsia="Calibri" w:hAnsi="Calibri"/>
          <w:b/>
          <w:bCs/>
          <w:sz w:val="21"/>
          <w:szCs w:val="21"/>
        </w:rPr>
        <w:t xml:space="preserve">certified alternative qualifying scheme</w:t>
      </w:r>
      <w:r>
        <w:rPr>
          <w:rFonts w:ascii="Calibri" w:cs="Calibri" w:eastAsia="Calibri" w:hAnsi="Calibri"/>
          <w:sz w:val="21"/>
          <w:szCs w:val="21"/>
        </w:rPr>
        <w:t xml:space="preserve">, and contribute monthly.</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Contributions are a percentage of </w:t>
      </w:r>
      <w:r>
        <w:rPr>
          <w:rFonts w:ascii="Calibri" w:cs="Calibri" w:eastAsia="Calibri" w:hAnsi="Calibri"/>
          <w:b/>
          <w:bCs/>
          <w:sz w:val="21"/>
          <w:szCs w:val="21"/>
        </w:rPr>
        <w:t xml:space="preserve">monthly basic salary</w:t>
      </w:r>
      <w:r>
        <w:rPr>
          <w:rFonts w:ascii="Calibri" w:cs="Calibri" w:eastAsia="Calibri" w:hAnsi="Calibri"/>
          <w:sz w:val="21"/>
          <w:szCs w:val="21"/>
        </w:rPr>
        <w:t xml:space="preserve">: </w:t>
      </w:r>
      <w:r>
        <w:rPr>
          <w:rFonts w:ascii="Calibri" w:cs="Calibri" w:eastAsia="Calibri" w:hAnsi="Calibri"/>
          <w:b/>
          <w:bCs/>
          <w:sz w:val="21"/>
          <w:szCs w:val="21"/>
        </w:rPr>
        <w:t xml:space="preserve">5.83%</w:t>
      </w:r>
      <w:r>
        <w:rPr>
          <w:rFonts w:ascii="Calibri" w:cs="Calibri" w:eastAsia="Calibri" w:hAnsi="Calibri"/>
          <w:sz w:val="21"/>
          <w:szCs w:val="21"/>
        </w:rPr>
        <w:t xml:space="preserve"> for employees with under five years’ service and </w:t>
      </w:r>
      <w:r>
        <w:rPr>
          <w:rFonts w:ascii="Calibri" w:cs="Calibri" w:eastAsia="Calibri" w:hAnsi="Calibri"/>
          <w:b/>
          <w:bCs/>
          <w:sz w:val="21"/>
          <w:szCs w:val="21"/>
        </w:rPr>
        <w:t xml:space="preserve">8.33%</w:t>
      </w:r>
      <w:r>
        <w:rPr>
          <w:rFonts w:ascii="Calibri" w:cs="Calibri" w:eastAsia="Calibri" w:hAnsi="Calibri"/>
          <w:sz w:val="21"/>
          <w:szCs w:val="21"/>
        </w:rPr>
        <w:t xml:space="preserve"> thereafter, on the current published rates.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Contributions replace the accrual of end-of-service gratuity for the period covered.</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Employees may make voluntary additional contributions.</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ADGM operates its own end-of-service arrangement. </w:t>
      </w:r>
      <w:r>
        <w:rPr>
          <w:rFonts w:ascii="Calibri" w:cs="Calibri" w:eastAsia="Calibri" w:hAnsi="Calibri"/>
          <w:b/>
          <w:bCs/>
          <w:sz w:val="21"/>
          <w:szCs w:val="21"/>
        </w:rPr>
        <w:t xml:space="preserve">Confirm the current requirement and rates directly with the relevant authority.</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b/>
          <w:bCs/>
          <w:sz w:val="21"/>
          <w:szCs w:val="21"/>
        </w:rPr>
        <w:t xml:space="preserve">Contributions are due monthly and late payment accrues.</w:t>
      </w:r>
      <w:r>
        <w:rPr>
          <w:rFonts w:ascii="Calibri" w:cs="Calibri" w:eastAsia="Calibri" w:hAnsi="Calibri"/>
          <w:sz w:val="21"/>
          <w:szCs w:val="21"/>
        </w:rPr>
        <w:t xml:space="preserve"> There is no equivalent of catching up at exit — the obligation is periodic, and arrears are pursued.</w:t>
      </w:r>
    </w:p>
    <w:p>
      <w:pPr>
        <w:spacing w:after="120" w:before="60" w:line="276"/>
        <w:ind w:left="720" w:hanging="720"/>
        <w:jc w:val="both"/>
      </w:pPr>
      <w:r>
        <w:rPr>
          <w:rFonts w:ascii="Calibri" w:cs="Calibri" w:eastAsia="Calibri" w:hAnsi="Calibri"/>
          <w:sz w:val="21"/>
          <w:szCs w:val="21"/>
        </w:rPr>
        <w:t xml:space="preserve">2.7	</w:t>
      </w:r>
      <w:r>
        <w:rPr>
          <w:rFonts w:ascii="Calibri" w:cs="Calibri" w:eastAsia="Calibri" w:hAnsi="Calibri"/>
          <w:i/>
          <w:iCs/>
          <w:sz w:val="21"/>
          <w:szCs w:val="21"/>
        </w:rPr>
        <w:t xml:space="preserve">Employers transferring in from a mainland entity frequently continue accruing a gratuity provision and never set up the scheme. The arrears build silently and surface on an audit or an employee query.</w:t>
      </w:r>
    </w:p>
    <w:p>
      <w:pPr>
        <w:keepNext/>
        <w:spacing w:after="120" w:before="280"/>
        <w:outlineLvl w:val="0"/>
      </w:pPr>
      <w:r>
        <w:rPr>
          <w:rFonts w:ascii="Calibri" w:cs="Calibri" w:eastAsia="Calibri" w:hAnsi="Calibri"/>
          <w:b/>
          <w:bCs/>
          <w:color w:val="14161B"/>
          <w:sz w:val="22"/>
          <w:szCs w:val="22"/>
        </w:rPr>
        <w:t xml:space="preserve">3. CONTRACT TERMS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employee is engaged as </w:t>
      </w:r>
      <w:r>
        <w:rPr>
          <w:rFonts w:ascii="Calibri" w:cs="Calibri" w:eastAsia="Calibri" w:hAnsi="Calibri"/>
          <w:b/>
          <w:bCs/>
          <w:sz w:val="21"/>
          <w:szCs w:val="21"/>
        </w:rPr>
        <w:t xml:space="preserve">[JOB TITLE]</w:t>
      </w:r>
      <w:r>
        <w:rPr>
          <w:rFonts w:ascii="Calibri" w:cs="Calibri" w:eastAsia="Calibri" w:hAnsi="Calibri"/>
          <w:sz w:val="21"/>
          <w:szCs w:val="21"/>
        </w:rPr>
        <w:t xml:space="preserve"> from </w:t>
      </w:r>
      <w:r>
        <w:rPr>
          <w:rFonts w:ascii="Calibri" w:cs="Calibri" w:eastAsia="Calibri" w:hAnsi="Calibri"/>
          <w:b/>
          <w:bCs/>
          <w:sz w:val="21"/>
          <w:szCs w:val="21"/>
        </w:rPr>
        <w:t xml:space="preserve">[DATE]</w:t>
      </w:r>
      <w:r>
        <w:rPr>
          <w:rFonts w:ascii="Calibri" w:cs="Calibri" w:eastAsia="Calibri" w:hAnsi="Calibri"/>
          <w:sz w:val="21"/>
          <w:szCs w:val="21"/>
        </w:rPr>
        <w:t xml:space="preserve">, on an </w:t>
      </w:r>
      <w:r>
        <w:rPr>
          <w:rFonts w:ascii="Calibri" w:cs="Calibri" w:eastAsia="Calibri" w:hAnsi="Calibri"/>
          <w:b/>
          <w:bCs/>
          <w:sz w:val="21"/>
          <w:szCs w:val="21"/>
        </w:rPr>
        <w:t xml:space="preserve">[indefinite / fixed]</w:t>
      </w:r>
      <w:r>
        <w:rPr>
          <w:rFonts w:ascii="Calibri" w:cs="Calibri" w:eastAsia="Calibri" w:hAnsi="Calibri"/>
          <w:sz w:val="21"/>
          <w:szCs w:val="21"/>
        </w:rPr>
        <w:t xml:space="preserve"> term basis.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Working hours are </w:t>
      </w:r>
      <w:r>
        <w:rPr>
          <w:rFonts w:ascii="Calibri" w:cs="Calibri" w:eastAsia="Calibri" w:hAnsi="Calibri"/>
          <w:b/>
          <w:bCs/>
          <w:sz w:val="21"/>
          <w:szCs w:val="21"/>
        </w:rPr>
        <w:t xml:space="preserve">[HOURS]</w:t>
      </w:r>
      <w:r>
        <w:rPr>
          <w:rFonts w:ascii="Calibri" w:cs="Calibri" w:eastAsia="Calibri" w:hAnsi="Calibri"/>
          <w:sz w:val="21"/>
          <w:szCs w:val="21"/>
        </w:rPr>
        <w:t xml:space="preserve"> per week, </w:t>
      </w:r>
      <w:r>
        <w:rPr>
          <w:rFonts w:ascii="Calibri" w:cs="Calibri" w:eastAsia="Calibri" w:hAnsi="Calibri"/>
          <w:b/>
          <w:bCs/>
          <w:sz w:val="21"/>
          <w:szCs w:val="21"/>
        </w:rPr>
        <w:t xml:space="preserve">[with the statutory limits and rest entitlements applying]</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Salary is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per month, of which basic salary is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paid monthly in arrears.</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The employee is entitled to </w:t>
      </w:r>
      <w:r>
        <w:rPr>
          <w:rFonts w:ascii="Calibri" w:cs="Calibri" w:eastAsia="Calibri" w:hAnsi="Calibri"/>
          <w:b/>
          <w:bCs/>
          <w:sz w:val="21"/>
          <w:szCs w:val="21"/>
        </w:rPr>
        <w:t xml:space="preserve">[NUMBER]</w:t>
      </w:r>
      <w:r>
        <w:rPr>
          <w:rFonts w:ascii="Calibri" w:cs="Calibri" w:eastAsia="Calibri" w:hAnsi="Calibri"/>
          <w:sz w:val="21"/>
          <w:szCs w:val="21"/>
        </w:rPr>
        <w:t xml:space="preserve"> working days of annual leave per year, plus public holidays.</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Sick pay, maternity, paternity and other statutory leave are provided in accordance with the applicable zone statute.</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sz w:val="21"/>
          <w:szCs w:val="21"/>
        </w:rPr>
        <w:t xml:space="preserve">Notice is </w:t>
      </w:r>
      <w:r>
        <w:rPr>
          <w:rFonts w:ascii="Calibri" w:cs="Calibri" w:eastAsia="Calibri" w:hAnsi="Calibri"/>
          <w:b/>
          <w:bCs/>
          <w:sz w:val="21"/>
          <w:szCs w:val="21"/>
        </w:rPr>
        <w:t xml:space="preserve">[PERIOD]</w:t>
      </w:r>
      <w:r>
        <w:rPr>
          <w:rFonts w:ascii="Calibri" w:cs="Calibri" w:eastAsia="Calibri" w:hAnsi="Calibri"/>
          <w:sz w:val="21"/>
          <w:szCs w:val="21"/>
        </w:rPr>
        <w:t xml:space="preserve">, subject to the statutory minimum determined by length of service.</w:t>
      </w:r>
    </w:p>
    <w:p>
      <w:pPr>
        <w:spacing w:after="120" w:before="60" w:line="276"/>
        <w:ind w:left="720" w:hanging="720"/>
        <w:jc w:val="both"/>
      </w:pPr>
      <w:r>
        <w:rPr>
          <w:rFonts w:ascii="Calibri" w:cs="Calibri" w:eastAsia="Calibri" w:hAnsi="Calibri"/>
          <w:sz w:val="21"/>
          <w:szCs w:val="21"/>
        </w:rPr>
        <w:t xml:space="preserve">3.7	</w:t>
      </w:r>
      <w:r>
        <w:rPr>
          <w:rFonts w:ascii="Calibri" w:cs="Calibri" w:eastAsia="Calibri" w:hAnsi="Calibri"/>
          <w:sz w:val="21"/>
          <w:szCs w:val="21"/>
        </w:rPr>
        <w:t xml:space="preserve">The Employer shall maintain health insurance and shall sponsor the employee’s residence visa where applicable.</w:t>
      </w:r>
    </w:p>
    <w:p>
      <w:pPr>
        <w:spacing w:after="120" w:before="60" w:line="276"/>
        <w:ind w:left="720" w:hanging="720"/>
        <w:jc w:val="both"/>
      </w:pPr>
      <w:r>
        <w:rPr>
          <w:rFonts w:ascii="Calibri" w:cs="Calibri" w:eastAsia="Calibri" w:hAnsi="Calibri"/>
          <w:sz w:val="21"/>
          <w:szCs w:val="21"/>
        </w:rPr>
        <w:t xml:space="preserve">3.8	</w:t>
      </w:r>
      <w:r>
        <w:rPr>
          <w:rFonts w:ascii="Calibri" w:cs="Calibri" w:eastAsia="Calibri" w:hAnsi="Calibri"/>
          <w:sz w:val="21"/>
          <w:szCs w:val="21"/>
        </w:rPr>
        <w:t xml:space="preserve">Confidentiality, intellectual property assignment and post-termination restrictions apply as set out in Schedule 1.</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TERMINATION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Either party may terminate on the notice stated, or by payment in lieu.</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Termination without notice is available for cause as defined in the applicable statute.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On termination the Employer shall pay outstanding salary, accrued untaken leave, any payment in lieu of notice, and </w:t>
      </w:r>
      <w:r>
        <w:rPr>
          <w:rFonts w:ascii="Calibri" w:cs="Calibri" w:eastAsia="Calibri" w:hAnsi="Calibri"/>
          <w:b/>
          <w:bCs/>
          <w:sz w:val="21"/>
          <w:szCs w:val="21"/>
        </w:rPr>
        <w:t xml:space="preserve">shall ensure all scheme contributions are up to date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b/>
          <w:bCs/>
          <w:sz w:val="21"/>
          <w:szCs w:val="21"/>
        </w:rPr>
        <w:t xml:space="preserve">Late payment of final entitlements carries a statutory penalty</w:t>
      </w:r>
      <w:r>
        <w:rPr>
          <w:rFonts w:ascii="Calibri" w:cs="Calibri" w:eastAsia="Calibri" w:hAnsi="Calibri"/>
          <w:sz w:val="21"/>
          <w:szCs w:val="21"/>
        </w:rPr>
        <w:t xml:space="preserve"> in DIFC — a daily amount accruing until payment. Settle promptly.</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The employee’s accumulated scheme benefit is dealt with through the scheme, not paid by the Employer as gratuity.</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sz w:val="21"/>
          <w:szCs w:val="21"/>
        </w:rPr>
        <w:t xml:space="preserve">Where the employee is visa-sponsored, the Employer cancels the permit and visa after settlement.</w:t>
      </w:r>
    </w:p>
    <w:p>
      <w:pPr>
        <w:keepNext/>
        <w:spacing w:after="120" w:before="280"/>
        <w:outlineLvl w:val="0"/>
      </w:pPr>
      <w:r>
        <w:rPr>
          <w:rFonts w:ascii="Calibri" w:cs="Calibri" w:eastAsia="Calibri" w:hAnsi="Calibri"/>
          <w:b/>
          <w:bCs/>
          <w:color w:val="14161B"/>
          <w:sz w:val="22"/>
          <w:szCs w:val="22"/>
        </w:rPr>
        <w:t xml:space="preserve">5. SETTING UP CORRECTLY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3469"/>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entity is DIFC or ADGM registered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Determines the entire regime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Use a contract drafted for the applicable zone statute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a MOHRE contract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Enrol in DEWS or a certified alternative scheme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first payroll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Set the contribution rate against length of service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5.83% or 8.33% on basic</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Automate the monthly contribution</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most common failure point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 the employee with the zone authority</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zone requirements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Arrange health insurance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Mandatory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Process the visa where the zone sponsors</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Adopt a handbook drafted for the zone regime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Mainland handbooks are wrong here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Adopt the DIFC or ADGM data protection policy</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the federal PDPL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whether ILOE is being taken up</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Optional in these zones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Diarise the five-year service point for the rate change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Contribution rate steps up</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keepNext/>
        <w:spacing w:after="120" w:before="280"/>
        <w:outlineLvl w:val="0"/>
      </w:pPr>
      <w:r>
        <w:rPr>
          <w:rFonts w:ascii="Calibri" w:cs="Calibri" w:eastAsia="Calibri" w:hAnsi="Calibri"/>
          <w:b/>
          <w:bCs/>
          <w:color w:val="14161B"/>
          <w:sz w:val="22"/>
          <w:szCs w:val="22"/>
        </w:rPr>
        <w:t xml:space="preserve">6. GROUP EMPLOYERS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A group with both mainland and DIFC or ADGM entities is running </w:t>
      </w:r>
      <w:r>
        <w:rPr>
          <w:rFonts w:ascii="Calibri" w:cs="Calibri" w:eastAsia="Calibri" w:hAnsi="Calibri"/>
          <w:b/>
          <w:bCs/>
          <w:sz w:val="21"/>
          <w:szCs w:val="21"/>
        </w:rPr>
        <w:t xml:space="preserve">two employment regimes at once</w:t>
      </w:r>
      <w:r>
        <w:rPr>
          <w:rFonts w:ascii="Calibri" w:cs="Calibri" w:eastAsia="Calibri" w:hAnsi="Calibri"/>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Must differ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contract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Two templates — MOHRE registered and zone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End of service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Gratuity accrual versus funded contributions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Handbook</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Two versions, or one with a clear jurisdiction split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protection policy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Federal PDPL versus DIFC or ADGM regime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Transfers of employees between entities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 real termination and rehire</w:t>
            </w:r>
            <w:r>
              <w:rPr>
                <w:rFonts w:ascii="Calibri" w:cs="Calibri" w:eastAsia="Calibri" w:hAnsi="Calibri"/>
                <w:sz w:val="18"/>
                <w:szCs w:val="18"/>
              </w:rPr>
              <w:t xml:space="preserve"> — settle the outgoing entitlement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Personal data moving between entities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 cross-border transfer</w:t>
            </w:r>
            <w:r>
              <w:rPr>
                <w:rFonts w:ascii="Calibri" w:cs="Calibri" w:eastAsia="Calibri" w:hAnsi="Calibri"/>
                <w:sz w:val="18"/>
                <w:szCs w:val="18"/>
              </w:rPr>
              <w:t xml:space="preserve"> — mainland is not adequate for DIFC</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Payroll</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WPS versus zone arrangement</w:t>
            </w:r>
          </w:p>
        </w:tc>
      </w:tr>
    </w:tbl>
    <w:p>
      <w:pPr>
        <w:spacing w:after="140"/>
      </w:pP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i/>
          <w:iCs/>
          <w:sz w:val="21"/>
          <w:szCs w:val="21"/>
        </w:rPr>
        <w:t xml:space="preserve">Moving an employee from the mainland entity to the DIFC entity is not an internal transfer. The mainland employment ends, gratuity crystallises and must be settled, and the DIFC employment begins with scheme contributions from day one.</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 MOHRE contract is the wrong document here</w:t>
      </w:r>
    </w:p>
    <w:p>
      <w:pPr>
        <w:spacing w:after="60" w:line="264"/>
        <w:jc w:val="both"/>
      </w:pPr>
      <w:r>
        <w:rPr>
          <w:rFonts w:ascii="Calibri" w:cs="Calibri" w:eastAsia="Calibri" w:hAnsi="Calibri"/>
          <w:sz w:val="19"/>
          <w:szCs w:val="19"/>
        </w:rPr>
        <w:t xml:space="preserve">DIFC and ADGM are separate common-law jurisdictions with their own employment statutes and courts. Federal Decree-Law 33/2021 does not govern them. Using a mainland contract produces a document referencing the wrong law, the wrong end-of-service mechanism and the wrong dispute route.</w:t>
      </w:r>
    </w:p>
    <w:p>
      <w:pPr>
        <w:keepNext/>
        <w:spacing w:after="40" w:before="140"/>
      </w:pPr>
      <w:r>
        <w:rPr>
          <w:rFonts w:ascii="Calibri" w:cs="Calibri" w:eastAsia="Calibri" w:hAnsi="Calibri"/>
          <w:b/>
          <w:bCs/>
          <w:color w:val="14161B"/>
          <w:sz w:val="20"/>
          <w:szCs w:val="20"/>
        </w:rPr>
        <w:t xml:space="preserve">Contributions are monthly and cannot be caught up at exit</w:t>
      </w:r>
    </w:p>
    <w:p>
      <w:pPr>
        <w:spacing w:after="60" w:line="264"/>
        <w:jc w:val="both"/>
      </w:pPr>
      <w:r>
        <w:rPr>
          <w:rFonts w:ascii="Calibri" w:cs="Calibri" w:eastAsia="Calibri" w:hAnsi="Calibri"/>
          <w:sz w:val="19"/>
          <w:szCs w:val="19"/>
        </w:rPr>
        <w:t xml:space="preserve">The funded scheme replaces gratuity accrual with actual monthly transfers. There is no equivalent of settling at the end. Arrears accumulate, are pursued, and surface on audit or on an employee query about their scheme balance.</w:t>
      </w:r>
    </w:p>
    <w:p>
      <w:pPr>
        <w:keepNext/>
        <w:spacing w:after="40" w:before="140"/>
      </w:pPr>
      <w:r>
        <w:rPr>
          <w:rFonts w:ascii="Calibri" w:cs="Calibri" w:eastAsia="Calibri" w:hAnsi="Calibri"/>
          <w:b/>
          <w:bCs/>
          <w:color w:val="14161B"/>
          <w:sz w:val="20"/>
          <w:szCs w:val="20"/>
        </w:rPr>
        <w:t xml:space="preserve">Automate the contribution</w:t>
      </w:r>
    </w:p>
    <w:p>
      <w:pPr>
        <w:spacing w:after="60" w:line="264"/>
        <w:jc w:val="both"/>
      </w:pPr>
      <w:r>
        <w:rPr>
          <w:rFonts w:ascii="Calibri" w:cs="Calibri" w:eastAsia="Calibri" w:hAnsi="Calibri"/>
          <w:sz w:val="19"/>
          <w:szCs w:val="19"/>
        </w:rPr>
        <w:t xml:space="preserve">The single most common DIFC employment failure is an employer that enrolled employees and then missed contributions — usually after a payroll change or a finance handover. Automate it and reconcile monthly against headcount.</w:t>
      </w:r>
    </w:p>
    <w:p>
      <w:pPr>
        <w:keepNext/>
        <w:spacing w:after="40" w:before="140"/>
      </w:pPr>
      <w:r>
        <w:rPr>
          <w:rFonts w:ascii="Calibri" w:cs="Calibri" w:eastAsia="Calibri" w:hAnsi="Calibri"/>
          <w:b/>
          <w:bCs/>
          <w:color w:val="14161B"/>
          <w:sz w:val="20"/>
          <w:szCs w:val="20"/>
        </w:rPr>
        <w:t xml:space="preserve">Watch the five-year rate step</w:t>
      </w:r>
    </w:p>
    <w:p>
      <w:pPr>
        <w:spacing w:after="60" w:line="264"/>
        <w:jc w:val="both"/>
      </w:pPr>
      <w:r>
        <w:rPr>
          <w:rFonts w:ascii="Calibri" w:cs="Calibri" w:eastAsia="Calibri" w:hAnsi="Calibri"/>
          <w:sz w:val="19"/>
          <w:szCs w:val="19"/>
        </w:rPr>
        <w:t xml:space="preserve">The contribution rate increases with length of service on the published rates. Employers set the initial rate correctly and never revisit it, underpaying quietly for years. Diarise the service anniversary.</w:t>
      </w:r>
    </w:p>
    <w:p>
      <w:pPr>
        <w:keepNext/>
        <w:spacing w:after="40" w:before="140"/>
      </w:pPr>
      <w:r>
        <w:rPr>
          <w:rFonts w:ascii="Calibri" w:cs="Calibri" w:eastAsia="Calibri" w:hAnsi="Calibri"/>
          <w:b/>
          <w:bCs/>
          <w:color w:val="14161B"/>
          <w:sz w:val="20"/>
          <w:szCs w:val="20"/>
        </w:rPr>
        <w:t xml:space="preserve">Contributions are on basic salary</w:t>
      </w:r>
    </w:p>
    <w:p>
      <w:pPr>
        <w:spacing w:after="60" w:line="264"/>
        <w:jc w:val="both"/>
      </w:pPr>
      <w:r>
        <w:rPr>
          <w:rFonts w:ascii="Calibri" w:cs="Calibri" w:eastAsia="Calibri" w:hAnsi="Calibri"/>
          <w:sz w:val="19"/>
          <w:szCs w:val="19"/>
        </w:rPr>
        <w:t xml:space="preserve">As with mainland gratuity, the base is basic salary rather than total package. The basic-to-allowance split therefore has a direct monthly cost consequence in these zones, not just a deferred one.</w:t>
      </w:r>
    </w:p>
    <w:p>
      <w:pPr>
        <w:keepNext/>
        <w:spacing w:after="40" w:before="140"/>
      </w:pPr>
      <w:r>
        <w:rPr>
          <w:rFonts w:ascii="Calibri" w:cs="Calibri" w:eastAsia="Calibri" w:hAnsi="Calibri"/>
          <w:b/>
          <w:bCs/>
          <w:color w:val="14161B"/>
          <w:sz w:val="20"/>
          <w:szCs w:val="20"/>
        </w:rPr>
        <w:t xml:space="preserve">Contracts need not be fixed term</w:t>
      </w:r>
    </w:p>
    <w:p>
      <w:pPr>
        <w:spacing w:after="60" w:line="264"/>
        <w:jc w:val="both"/>
      </w:pPr>
      <w:r>
        <w:rPr>
          <w:rFonts w:ascii="Calibri" w:cs="Calibri" w:eastAsia="Calibri" w:hAnsi="Calibri"/>
          <w:sz w:val="19"/>
          <w:szCs w:val="19"/>
        </w:rPr>
        <w:t xml:space="preserve">The mainland requirement that all contracts be fixed term does not apply here. Indefinite contracts are available, which is one of the practical attractions of the zones for senior hires.</w:t>
      </w:r>
    </w:p>
    <w:p>
      <w:pPr>
        <w:keepNext/>
        <w:spacing w:after="40" w:before="140"/>
      </w:pPr>
      <w:r>
        <w:rPr>
          <w:rFonts w:ascii="Calibri" w:cs="Calibri" w:eastAsia="Calibri" w:hAnsi="Calibri"/>
          <w:b/>
          <w:bCs/>
          <w:color w:val="14161B"/>
          <w:sz w:val="20"/>
          <w:szCs w:val="20"/>
        </w:rPr>
        <w:t xml:space="preserve">Late final payment carries a daily penalty in DIFC</w:t>
      </w:r>
    </w:p>
    <w:p>
      <w:pPr>
        <w:spacing w:after="60" w:line="264"/>
        <w:jc w:val="both"/>
      </w:pPr>
      <w:r>
        <w:rPr>
          <w:rFonts w:ascii="Calibri" w:cs="Calibri" w:eastAsia="Calibri" w:hAnsi="Calibri"/>
          <w:sz w:val="19"/>
          <w:szCs w:val="19"/>
        </w:rPr>
        <w:t xml:space="preserve">A statutory penalty accrues daily where final entitlements are not paid on time. This is a harder-edged provision than the mainland fourteen-day rule and it compounds. Settle promptly and keep the evidence of payment.</w:t>
      </w:r>
    </w:p>
    <w:p>
      <w:pPr>
        <w:keepNext/>
        <w:spacing w:after="40" w:before="140"/>
      </w:pPr>
      <w:r>
        <w:rPr>
          <w:rFonts w:ascii="Calibri" w:cs="Calibri" w:eastAsia="Calibri" w:hAnsi="Calibri"/>
          <w:b/>
          <w:bCs/>
          <w:color w:val="14161B"/>
          <w:sz w:val="20"/>
          <w:szCs w:val="20"/>
        </w:rPr>
        <w:t xml:space="preserve">Emiratisation and ILOE do not apply the same way</w:t>
      </w:r>
    </w:p>
    <w:p>
      <w:pPr>
        <w:spacing w:after="60" w:line="264"/>
        <w:jc w:val="both"/>
      </w:pPr>
      <w:r>
        <w:rPr>
          <w:rFonts w:ascii="Calibri" w:cs="Calibri" w:eastAsia="Calibri" w:hAnsi="Calibri"/>
          <w:sz w:val="19"/>
          <w:szCs w:val="19"/>
        </w:rPr>
        <w:t xml:space="preserve">Emiratisation obligations do not attach to these zones, and ILOE subscription is optional rather than mandatory. That is a genuine cost and administrative difference that belongs in any comparison of where to place headcount.</w:t>
      </w:r>
    </w:p>
    <w:p>
      <w:pPr>
        <w:keepNext/>
        <w:spacing w:after="40" w:before="140"/>
      </w:pPr>
      <w:r>
        <w:rPr>
          <w:rFonts w:ascii="Calibri" w:cs="Calibri" w:eastAsia="Calibri" w:hAnsi="Calibri"/>
          <w:b/>
          <w:bCs/>
          <w:color w:val="14161B"/>
          <w:sz w:val="20"/>
          <w:szCs w:val="20"/>
        </w:rPr>
        <w:t xml:space="preserve">Use the right data protection policy</w:t>
      </w:r>
    </w:p>
    <w:p>
      <w:pPr>
        <w:spacing w:after="60" w:line="264"/>
        <w:jc w:val="both"/>
      </w:pPr>
      <w:r>
        <w:rPr>
          <w:rFonts w:ascii="Calibri" w:cs="Calibri" w:eastAsia="Calibri" w:hAnsi="Calibri"/>
          <w:sz w:val="19"/>
          <w:szCs w:val="19"/>
        </w:rPr>
        <w:t xml:space="preserve">DIFC entities follow the DIFC Data Protection Law and ADGM entities the ADGM Regulations. The federal PDPL does not apply to them. An employee privacy notice drafted for the federal regime is the wrong document, citing the wrong regulator and the wrong rights.</w:t>
      </w:r>
    </w:p>
    <w:p>
      <w:pPr>
        <w:keepNext/>
        <w:spacing w:after="40" w:before="140"/>
      </w:pPr>
      <w:r>
        <w:rPr>
          <w:rFonts w:ascii="Calibri" w:cs="Calibri" w:eastAsia="Calibri" w:hAnsi="Calibri"/>
          <w:b/>
          <w:bCs/>
          <w:color w:val="14161B"/>
          <w:sz w:val="20"/>
          <w:szCs w:val="20"/>
        </w:rPr>
        <w:t xml:space="preserve">Moving an employee between group entities is a termination</w:t>
      </w:r>
    </w:p>
    <w:p>
      <w:pPr>
        <w:spacing w:after="60" w:line="264"/>
        <w:jc w:val="both"/>
      </w:pPr>
      <w:r>
        <w:rPr>
          <w:rFonts w:ascii="Calibri" w:cs="Calibri" w:eastAsia="Calibri" w:hAnsi="Calibri"/>
          <w:sz w:val="19"/>
          <w:szCs w:val="19"/>
        </w:rPr>
        <w:t xml:space="preserve">A transfer from a mainland entity to a DIFC entity ends the mainland employment. Gratuity crystallises and must be settled, the permit and visa change, and scheme contributions start fresh. Groups treat this as an internal move and create an unsettled gratuity liability.</w:t>
      </w:r>
    </w:p>
    <w:p>
      <w:pPr>
        <w:keepNext/>
        <w:spacing w:after="40" w:before="140"/>
      </w:pPr>
      <w:r>
        <w:rPr>
          <w:rFonts w:ascii="Calibri" w:cs="Calibri" w:eastAsia="Calibri" w:hAnsi="Calibri"/>
          <w:b/>
          <w:bCs/>
          <w:color w:val="14161B"/>
          <w:sz w:val="20"/>
          <w:szCs w:val="20"/>
        </w:rPr>
        <w:t xml:space="preserve">Intra-group data flows are cross-border</w:t>
      </w:r>
    </w:p>
    <w:p>
      <w:pPr>
        <w:spacing w:after="60" w:line="264"/>
        <w:jc w:val="both"/>
      </w:pPr>
      <w:r>
        <w:rPr>
          <w:rFonts w:ascii="Calibri" w:cs="Calibri" w:eastAsia="Calibri" w:hAnsi="Calibri"/>
          <w:sz w:val="19"/>
          <w:szCs w:val="19"/>
        </w:rPr>
        <w:t xml:space="preserve">Personal data moving from a DIFC entity to a mainland affiliate is a restricted transfer, because the mainland is not on the DIFC adequacy list. Shared HR systems across a mixed group need this addressed contractually.</w:t>
      </w:r>
    </w:p>
    <w:p>
      <w:pPr>
        <w:keepNext/>
        <w:spacing w:after="40" w:before="140"/>
      </w:pPr>
      <w:r>
        <w:rPr>
          <w:rFonts w:ascii="Calibri" w:cs="Calibri" w:eastAsia="Calibri" w:hAnsi="Calibri"/>
          <w:b/>
          <w:bCs/>
          <w:color w:val="14161B"/>
          <w:sz w:val="20"/>
          <w:szCs w:val="20"/>
        </w:rPr>
        <w:t xml:space="preserve">Two regimes means two document sets</w:t>
      </w:r>
    </w:p>
    <w:p>
      <w:pPr>
        <w:spacing w:after="60" w:line="264"/>
        <w:jc w:val="both"/>
      </w:pPr>
      <w:r>
        <w:rPr>
          <w:rFonts w:ascii="Calibri" w:cs="Calibri" w:eastAsia="Calibri" w:hAnsi="Calibri"/>
          <w:sz w:val="19"/>
          <w:szCs w:val="19"/>
        </w:rPr>
        <w:t xml:space="preserve">Contracts, handbooks, policies, payroll arrangements and privacy notices all differ. A group running one set across both is wrong in one jurisdiction, usually the zone, because the mainland documents were written first.</w:t>
      </w:r>
    </w:p>
    <w:p>
      <w:pPr>
        <w:keepNext/>
        <w:spacing w:after="40" w:before="140"/>
      </w:pPr>
      <w:r>
        <w:rPr>
          <w:rFonts w:ascii="Calibri" w:cs="Calibri" w:eastAsia="Calibri" w:hAnsi="Calibri"/>
          <w:b/>
          <w:bCs/>
          <w:color w:val="14161B"/>
          <w:sz w:val="20"/>
          <w:szCs w:val="20"/>
        </w:rPr>
        <w:t xml:space="preserve">Common-law drafting is available and useful</w:t>
      </w:r>
    </w:p>
    <w:p>
      <w:pPr>
        <w:spacing w:after="60" w:line="264"/>
        <w:jc w:val="both"/>
      </w:pPr>
      <w:r>
        <w:rPr>
          <w:rFonts w:ascii="Calibri" w:cs="Calibri" w:eastAsia="Calibri" w:hAnsi="Calibri"/>
          <w:sz w:val="19"/>
          <w:szCs w:val="19"/>
        </w:rPr>
        <w:t xml:space="preserve">These zones support restrictive covenants, settlement agreements and other common-law instruments in a familiar form, with courts that apply them predictably. That is a real advantage for senior and commercially sensitive hires.</w:t>
      </w:r>
    </w:p>
    <w:p>
      <w:pPr>
        <w:keepNext/>
        <w:spacing w:after="40" w:before="140"/>
      </w:pPr>
      <w:r>
        <w:rPr>
          <w:rFonts w:ascii="Calibri" w:cs="Calibri" w:eastAsia="Calibri" w:hAnsi="Calibri"/>
          <w:b/>
          <w:bCs/>
          <w:color w:val="14161B"/>
          <w:sz w:val="20"/>
          <w:szCs w:val="20"/>
        </w:rPr>
        <w:t xml:space="preserve">Confirm ADGM rates and requirements separately</w:t>
      </w:r>
    </w:p>
    <w:p>
      <w:pPr>
        <w:spacing w:after="60" w:line="264"/>
        <w:jc w:val="both"/>
      </w:pPr>
      <w:r>
        <w:rPr>
          <w:rFonts w:ascii="Calibri" w:cs="Calibri" w:eastAsia="Calibri" w:hAnsi="Calibri"/>
          <w:sz w:val="19"/>
          <w:szCs w:val="19"/>
        </w:rPr>
        <w:t xml:space="preserve">ADGM operates its own end-of-service arrangement, and its rules are not identical to DIFC. Do not assume DEWS rates and mechanics apply — confirm with the relevant authority for the specific zone.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DIFC and ADGM positions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Employment statutes in both zones have been amended, and DEWS rates, qualifying scheme rules, ADGM arrangements and penalty provisions change — confirm the current requirements with the DIFC Authority, ADGM Registration Authority or a zone employment adviser before hiring.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2026-08-23T16:28:34.137Z</dcterms:created>
  <dcterms:modified xsi:type="dcterms:W3CDTF">2026-08-23T16:28:34.137Z</dcterms:modified>
</cp:coreProperties>
</file>

<file path=docProps/custom.xml><?xml version="1.0" encoding="utf-8"?>
<Properties xmlns="http://schemas.openxmlformats.org/officeDocument/2006/custom-properties" xmlns:vt="http://schemas.openxmlformats.org/officeDocument/2006/docPropsVTypes"/>
</file>