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DEBT RECOVERY</w:t>
      </w:r>
    </w:p>
    <w:p>
      <w:pPr>
        <w:spacing w:after="260"/>
        <w:jc w:val="center"/>
      </w:pPr>
      <w:r>
        <w:rPr>
          <w:rFonts w:ascii="Calibri" w:cs="Calibri" w:eastAsia="Calibri" w:hAnsi="Calibri"/>
          <w:i/>
          <w:iCs/>
          <w:color w:val="6E7480"/>
          <w:sz w:val="19"/>
          <w:szCs w:val="19"/>
        </w:rPr>
        <w:t xml:space="preserve">Letter of demand and enforcement routes</w:t>
      </w:r>
    </w:p>
    <w:p>
      <w:pPr>
        <w:spacing w:after="180" w:before="0" w:line="276"/>
        <w:jc w:val="both"/>
      </w:pPr>
      <w:r>
        <w:rPr>
          <w:rFonts w:ascii="Calibri" w:cs="Calibri" w:eastAsia="Calibri" w:hAnsi="Calibri"/>
          <w:i/>
          <w:iCs/>
          <w:color w:val="6E7480"/>
          <w:sz w:val="21"/>
          <w:szCs w:val="21"/>
        </w:rPr>
        <w:t xml:space="preserve">The cheque question dominates UAE debt recovery and it has changed. Dishonoured cheques were historically a criminal matter; reforms taking effect in 2022 moved much of the position, with a dishonoured cheque capable of being treated as an </w:t>
      </w:r>
      <w:r>
        <w:rPr>
          <w:rFonts w:ascii="Calibri" w:cs="Calibri" w:eastAsia="Calibri" w:hAnsi="Calibri"/>
          <w:b/>
          <w:bCs/>
          <w:i/>
          <w:iCs/>
          <w:color w:val="6E7480"/>
          <w:sz w:val="21"/>
          <w:szCs w:val="21"/>
        </w:rPr>
        <w:t xml:space="preserve">instrument of execution</w:t>
      </w:r>
      <w:r>
        <w:rPr>
          <w:rFonts w:ascii="Calibri" w:cs="Calibri" w:eastAsia="Calibri" w:hAnsi="Calibri"/>
          <w:i/>
          <w:iCs/>
          <w:color w:val="6E7480"/>
          <w:sz w:val="21"/>
          <w:szCs w:val="21"/>
        </w:rPr>
        <w:t xml:space="preserve"> allowing enforcement without a full trial. </w:t>
      </w:r>
      <w:r>
        <w:rPr>
          <w:rFonts w:ascii="Calibri" w:cs="Calibri" w:eastAsia="Calibri" w:hAnsi="Calibri"/>
          <w:b/>
          <w:bCs/>
          <w:i/>
          <w:iCs/>
          <w:color w:val="6E7480"/>
          <w:sz w:val="21"/>
          <w:szCs w:val="21"/>
        </w:rPr>
        <w:t xml:space="preserve">Confirm the current position before relying on any route — this is the single most misreported area in UAE practice.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Creditor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Debtor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[licence / Emirates ID]</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Debtor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company / Free zone company / Individual]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Principal claimed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 claimed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demanded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[Unpaid invoices / Dishonoured cheque / Breach of contract / Loan]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[Cheques / Guarantee / None]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Oldest invoice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Limitation position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[ASSESS — see the notes]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Deadline given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[14]</w:t>
            </w:r>
            <w:r>
              <w:rPr>
                <w:rFonts w:ascii="Calibri" w:cs="Calibri" w:eastAsia="Calibri" w:hAnsi="Calibri"/>
                <w:sz w:val="19"/>
                <w:szCs w:val="19"/>
              </w:rPr>
              <w:t xml:space="preserve"> days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post / Courier / Email]</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SENDING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debt genuinely due and undisputed?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demand on a disputed sum invites a counterclaim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 underlying documents complete?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 purchase order, invoices, delivery proof</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performed our own obligations?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usual defence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amount arithmetically right after credits?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wrong figure undermines everything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 we hold cheques, and are they still presentable?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Changes the route entirely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correct legal entity named?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Trading names are not entities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debtor solvent and worth pursuing?</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judgment against an empty company is worthless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claim within the limitation period?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Periods vary by claim type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contract require arbitration or a specific forum?</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Ignoring it is costly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Which jurisdiction — onshore, free zone, DIFC or ADGM?</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Determines the court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relationship worth preserving?</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Tone should follow</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simply called them?</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Most overdue invoices are administrative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LETTER OF DEMAND</w:t>
      </w:r>
    </w:p>
    <w:p>
      <w:pPr>
        <w:spacing w:after="120" w:before="0" w:line="276"/>
        <w:jc w:val="both"/>
      </w:pPr>
      <w:r>
        <w:rPr>
          <w:rFonts w:ascii="Calibri" w:cs="Calibri" w:eastAsia="Calibri" w:hAnsi="Calibri"/>
          <w:b/>
          <w:bCs/>
          <w:sz w:val="21"/>
          <w:szCs w:val="21"/>
        </w:rPr>
        <w:t xml:space="preserve">[CREDITOR NAME]</w:t>
      </w:r>
      <w:r>
        <w:rPr>
          <w:rFonts w:ascii="Calibri" w:cs="Calibri" w:eastAsia="Calibri" w:hAnsi="Calibri"/>
          <w:sz w:val="21"/>
          <w:szCs w:val="21"/>
        </w:rPr>
        <w:t xml:space="preserve">  Licence: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[ADDRESS]</w:t>
      </w:r>
    </w:p>
    <w:p>
      <w:pPr>
        <w:spacing w:after="10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20" w:before="0" w:line="276"/>
        <w:jc w:val="both"/>
      </w:pPr>
      <w:r>
        <w:rPr>
          <w:rFonts w:ascii="Calibri" w:cs="Calibri" w:eastAsia="Calibri" w:hAnsi="Calibri"/>
          <w:b/>
          <w:bCs/>
          <w:sz w:val="21"/>
          <w:szCs w:val="21"/>
        </w:rPr>
        <w:t xml:space="preserve">BY </w:t>
      </w:r>
      <w:r>
        <w:rPr>
          <w:rFonts w:ascii="Calibri" w:cs="Calibri" w:eastAsia="Calibri" w:hAnsi="Calibri"/>
          <w:b/>
          <w:bCs/>
          <w:sz w:val="21"/>
          <w:szCs w:val="21"/>
        </w:rPr>
        <w:t xml:space="preserve">[REGISTERED POST, COURIER AND EMAIL]</w:t>
      </w:r>
    </w:p>
    <w:p>
      <w:pPr>
        <w:spacing w:after="100" w:before="0" w:line="276"/>
        <w:jc w:val="both"/>
      </w:pPr>
      <w:r>
        <w:rPr>
          <w:rFonts w:ascii="Calibri" w:cs="Calibri" w:eastAsia="Calibri" w:hAnsi="Calibri"/>
          <w:b/>
          <w:bCs/>
          <w:sz w:val="21"/>
          <w:szCs w:val="21"/>
        </w:rPr>
        <w:t xml:space="preserve">[DEBTOR NAME]</w:t>
      </w:r>
      <w:r>
        <w:rPr>
          <w:rFonts w:ascii="Calibri" w:cs="Calibri" w:eastAsia="Calibri" w:hAnsi="Calibri"/>
          <w:sz w:val="21"/>
          <w:szCs w:val="21"/>
        </w:rPr>
        <w:t xml:space="preserve">, </w:t>
      </w:r>
      <w:r>
        <w:rPr>
          <w:rFonts w:ascii="Calibri" w:cs="Calibri" w:eastAsia="Calibri" w:hAnsi="Calibri"/>
          <w:b/>
          <w:bCs/>
          <w:sz w:val="21"/>
          <w:szCs w:val="21"/>
        </w:rPr>
        <w:t xml:space="preserve">[licence number]</w:t>
      </w:r>
      <w:r>
        <w:rPr>
          <w:rFonts w:ascii="Calibri" w:cs="Calibri" w:eastAsia="Calibri" w:hAnsi="Calibri"/>
          <w:sz w:val="21"/>
          <w:szCs w:val="21"/>
        </w:rPr>
        <w:t xml:space="preserve">  </w:t>
      </w:r>
      <w:r>
        <w:rPr>
          <w:rFonts w:ascii="Calibri" w:cs="Calibri" w:eastAsia="Calibri" w:hAnsi="Calibri"/>
          <w:b/>
          <w:bCs/>
          <w:sz w:val="21"/>
          <w:szCs w:val="21"/>
        </w:rPr>
        <w:t xml:space="preserve">[ADDRESS]</w:t>
      </w:r>
    </w:p>
    <w:p>
      <w:pPr>
        <w:spacing w:after="120" w:before="0" w:line="276"/>
        <w:jc w:val="both"/>
      </w:pPr>
      <w:r>
        <w:rPr>
          <w:rFonts w:ascii="Calibri" w:cs="Calibri" w:eastAsia="Calibri" w:hAnsi="Calibri"/>
          <w:sz w:val="21"/>
          <w:szCs w:val="21"/>
        </w:rPr>
        <w:t xml:space="preserve">Attention: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100" w:before="0" w:line="276"/>
        <w:jc w:val="both"/>
      </w:pPr>
      <w:r>
        <w:rPr>
          <w:rFonts w:ascii="Calibri" w:cs="Calibri" w:eastAsia="Calibri" w:hAnsi="Calibri"/>
          <w:sz w:val="21"/>
          <w:szCs w:val="21"/>
        </w:rPr>
        <w:t xml:space="preserve">Dear Sirs,</w:t>
      </w:r>
    </w:p>
    <w:p>
      <w:pPr>
        <w:spacing w:after="120" w:before="0" w:line="276"/>
        <w:jc w:val="both"/>
      </w:pPr>
      <w:r>
        <w:rPr>
          <w:rFonts w:ascii="Calibri" w:cs="Calibri" w:eastAsia="Calibri" w:hAnsi="Calibri"/>
          <w:b/>
          <w:bCs/>
          <w:sz w:val="21"/>
          <w:szCs w:val="21"/>
        </w:rPr>
        <w:t xml:space="preserve">LETTER OF DEMAND — AED </w:t>
      </w:r>
      <w:r>
        <w:rPr>
          <w:rFonts w:ascii="Calibri" w:cs="Calibri" w:eastAsia="Calibri" w:hAnsi="Calibri"/>
          <w:b/>
          <w:bCs/>
          <w:sz w:val="21"/>
          <w:szCs w:val="21"/>
        </w:rPr>
        <w:t xml:space="preserve">[AMOUNT]</w:t>
      </w:r>
    </w:p>
    <w:p>
      <w:pPr>
        <w:spacing w:after="110" w:before="0" w:line="276"/>
        <w:jc w:val="both"/>
      </w:pPr>
      <w:r>
        <w:rPr>
          <w:rFonts w:ascii="Calibri" w:cs="Calibri" w:eastAsia="Calibri" w:hAnsi="Calibri"/>
          <w:b/>
          <w:bCs/>
          <w:sz w:val="21"/>
          <w:szCs w:val="21"/>
        </w:rPr>
        <w:t xml:space="preserve">1. Background.</w:t>
      </w:r>
      <w:r>
        <w:rPr>
          <w:rFonts w:ascii="Calibri" w:cs="Calibri" w:eastAsia="Calibri" w:hAnsi="Calibri"/>
          <w:sz w:val="21"/>
          <w:szCs w:val="21"/>
        </w:rPr>
        <w:t xml:space="preserve"> </w:t>
      </w:r>
      <w:r>
        <w:rPr>
          <w:rFonts w:ascii="Calibri" w:cs="Calibri" w:eastAsia="Calibri" w:hAnsi="Calibri"/>
          <w:b/>
          <w:bCs/>
          <w:sz w:val="21"/>
          <w:szCs w:val="21"/>
        </w:rPr>
        <w:t xml:space="preserve">[SET OUT THE CONTRACT OR ARRANGEMENT — what was agreed, when, and what we supplied. Two or three factual sentences.]</w:t>
      </w:r>
    </w:p>
    <w:p>
      <w:pPr>
        <w:spacing w:after="90" w:before="0" w:line="276"/>
        <w:jc w:val="both"/>
      </w:pPr>
      <w:r>
        <w:rPr>
          <w:rFonts w:ascii="Calibri" w:cs="Calibri" w:eastAsia="Calibri" w:hAnsi="Calibri"/>
          <w:b/>
          <w:bCs/>
          <w:sz w:val="21"/>
          <w:szCs w:val="21"/>
        </w:rPr>
        <w:t xml:space="preserve">2. Amounts outstanding.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349"/>
        <w:gridCol w:w="1349"/>
        <w:gridCol w:w="1927"/>
        <w:gridCol w:w="1737"/>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w:t>
            </w:r>
          </w:p>
        </w:tc>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Due</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(AED)</w:t>
            </w:r>
          </w:p>
        </w:tc>
        <w:tc>
          <w:tcPr>
            <w:tcW w:type="dxa" w:w="1737"/>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 overdue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payments received</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credit notes</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Principal outstanding</w:t>
            </w:r>
          </w:p>
        </w:tc>
        <w:tc>
          <w:tcPr>
            <w:tcW w:type="dxa" w:w="1349"/>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 to date</w:t>
            </w:r>
          </w:p>
        </w:tc>
        <w:tc>
          <w:tcPr>
            <w:tcW w:type="dxa" w:w="1349"/>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due</w:t>
            </w:r>
          </w:p>
        </w:tc>
        <w:tc>
          <w:tcPr>
            <w:tcW w:type="dxa" w:w="1349"/>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p>
        </w:tc>
      </w:tr>
    </w:tbl>
    <w:p>
      <w:pPr>
        <w:spacing w:after="120"/>
      </w:pPr>
    </w:p>
    <w:p>
      <w:pPr>
        <w:spacing w:after="110" w:before="0" w:line="276"/>
        <w:jc w:val="both"/>
      </w:pPr>
      <w:r>
        <w:rPr>
          <w:rFonts w:ascii="Calibri" w:cs="Calibri" w:eastAsia="Calibri" w:hAnsi="Calibri"/>
          <w:sz w:val="21"/>
          <w:szCs w:val="21"/>
        </w:rPr>
        <w:t xml:space="preserve">Copies of the invoices </w:t>
      </w:r>
      <w:r>
        <w:rPr>
          <w:rFonts w:ascii="Calibri" w:cs="Calibri" w:eastAsia="Calibri" w:hAnsi="Calibri"/>
          <w:b/>
          <w:bCs/>
          <w:sz w:val="21"/>
          <w:szCs w:val="21"/>
        </w:rPr>
        <w:t xml:space="preserve">[and delivery documentation]</w:t>
      </w:r>
      <w:r>
        <w:rPr>
          <w:rFonts w:ascii="Calibri" w:cs="Calibri" w:eastAsia="Calibri" w:hAnsi="Calibri"/>
          <w:sz w:val="21"/>
          <w:szCs w:val="21"/>
        </w:rPr>
        <w:t xml:space="preserve"> are enclosed.</w:t>
      </w:r>
    </w:p>
    <w:p>
      <w:pPr>
        <w:spacing w:after="110" w:before="0" w:line="276"/>
        <w:jc w:val="both"/>
      </w:pPr>
      <w:r>
        <w:rPr>
          <w:rFonts w:ascii="Calibri" w:cs="Calibri" w:eastAsia="Calibri" w:hAnsi="Calibri"/>
          <w:b/>
          <w:bCs/>
          <w:sz w:val="21"/>
          <w:szCs w:val="21"/>
        </w:rPr>
        <w:t xml:space="preserve">3. Demand.</w:t>
      </w:r>
      <w:r>
        <w:rPr>
          <w:rFonts w:ascii="Calibri" w:cs="Calibri" w:eastAsia="Calibri" w:hAnsi="Calibri"/>
          <w:sz w:val="21"/>
          <w:szCs w:val="21"/>
        </w:rPr>
        <w:t xml:space="preserve"> We require payment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within </w:t>
      </w:r>
      <w:r>
        <w:rPr>
          <w:rFonts w:ascii="Calibri" w:cs="Calibri" w:eastAsia="Calibri" w:hAnsi="Calibri"/>
          <w:b/>
          <w:bCs/>
          <w:sz w:val="21"/>
          <w:szCs w:val="21"/>
        </w:rPr>
        <w:t xml:space="preserve">[14]</w:t>
      </w:r>
      <w:r>
        <w:rPr>
          <w:rFonts w:ascii="Calibri" w:cs="Calibri" w:eastAsia="Calibri" w:hAnsi="Calibri"/>
          <w:b/>
          <w:bCs/>
          <w:sz w:val="21"/>
          <w:szCs w:val="21"/>
        </w:rPr>
        <w:t xml:space="preserve"> days</w:t>
      </w:r>
      <w:r>
        <w:rPr>
          <w:rFonts w:ascii="Calibri" w:cs="Calibri" w:eastAsia="Calibri" w:hAnsi="Calibri"/>
          <w:sz w:val="21"/>
          <w:szCs w:val="21"/>
        </w:rPr>
        <w:t xml:space="preserve"> of the date of this letter, being by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[BANK]</w:t>
      </w:r>
      <w:r>
        <w:rPr>
          <w:rFonts w:ascii="Calibri" w:cs="Calibri" w:eastAsia="Calibri" w:hAnsi="Calibri"/>
          <w:sz w:val="21"/>
          <w:szCs w:val="21"/>
        </w:rPr>
        <w:t xml:space="preserve">, account </w:t>
      </w:r>
      <w:r>
        <w:rPr>
          <w:rFonts w:ascii="Calibri" w:cs="Calibri" w:eastAsia="Calibri" w:hAnsi="Calibri"/>
          <w:b/>
          <w:bCs/>
          <w:sz w:val="21"/>
          <w:szCs w:val="21"/>
        </w:rPr>
        <w:t xml:space="preserve">[NAME]</w:t>
      </w:r>
      <w:r>
        <w:rPr>
          <w:rFonts w:ascii="Calibri" w:cs="Calibri" w:eastAsia="Calibri" w:hAnsi="Calibri"/>
          <w:sz w:val="21"/>
          <w:szCs w:val="21"/>
        </w:rPr>
        <w:t xml:space="preserve">, IBAN </w:t>
      </w:r>
      <w:r>
        <w:rPr>
          <w:rFonts w:ascii="Calibri" w:cs="Calibri" w:eastAsia="Calibri" w:hAnsi="Calibri"/>
          <w:b/>
          <w:bCs/>
          <w:sz w:val="21"/>
          <w:szCs w:val="21"/>
        </w:rPr>
        <w:t xml:space="preserve">[NUMBER]</w:t>
      </w:r>
      <w:r>
        <w:rPr>
          <w:rFonts w:ascii="Calibri" w:cs="Calibri" w:eastAsia="Calibri" w:hAnsi="Calibri"/>
          <w:sz w:val="21"/>
          <w:szCs w:val="21"/>
        </w:rPr>
        <w:t xml:space="preserve">, quoting </w:t>
      </w:r>
      <w:r>
        <w:rPr>
          <w:rFonts w:ascii="Calibri" w:cs="Calibri" w:eastAsia="Calibri" w:hAnsi="Calibri"/>
          <w:b/>
          <w:bCs/>
          <w:sz w:val="21"/>
          <w:szCs w:val="21"/>
        </w:rPr>
        <w:t xml:space="preserve">[REF]</w:t>
      </w:r>
      <w:r>
        <w:rPr>
          <w:rFonts w:ascii="Calibri" w:cs="Calibri" w:eastAsia="Calibri" w:hAnsi="Calibri"/>
          <w:sz w:val="21"/>
          <w:szCs w:val="21"/>
        </w:rPr>
        <w:t xml:space="preserve">.</w:t>
      </w:r>
    </w:p>
    <w:p>
      <w:pPr>
        <w:spacing w:after="110" w:before="0" w:line="276"/>
        <w:jc w:val="both"/>
      </w:pPr>
      <w:r>
        <w:rPr>
          <w:rFonts w:ascii="Calibri" w:cs="Calibri" w:eastAsia="Calibri" w:hAnsi="Calibri"/>
          <w:b/>
          <w:bCs/>
          <w:sz w:val="21"/>
          <w:szCs w:val="21"/>
        </w:rPr>
        <w:t xml:space="preserve">4. If payment is not received.</w:t>
      </w:r>
      <w:r>
        <w:rPr>
          <w:rFonts w:ascii="Calibri" w:cs="Calibri" w:eastAsia="Calibri" w:hAnsi="Calibri"/>
          <w:sz w:val="21"/>
          <w:szCs w:val="21"/>
        </w:rPr>
        <w:t xml:space="preserve"> If we do not receive payment by that date we reserve the right to commence proceedings without further notice, claiming the sum due, interest and costs, and to take such other steps as are available to us in respect of an undisputed debt. All our rights are reserved.</w:t>
      </w:r>
    </w:p>
    <w:p>
      <w:pPr>
        <w:spacing w:after="140" w:before="0" w:line="276"/>
        <w:jc w:val="both"/>
      </w:pPr>
      <w:r>
        <w:rPr>
          <w:rFonts w:ascii="Calibri" w:cs="Calibri" w:eastAsia="Calibri" w:hAnsi="Calibri"/>
          <w:b/>
          <w:bCs/>
          <w:sz w:val="21"/>
          <w:szCs w:val="21"/>
        </w:rPr>
        <w:t xml:space="preserve">5. Discussion.</w:t>
      </w:r>
      <w:r>
        <w:rPr>
          <w:rFonts w:ascii="Calibri" w:cs="Calibri" w:eastAsia="Calibri" w:hAnsi="Calibri"/>
          <w:sz w:val="21"/>
          <w:szCs w:val="21"/>
        </w:rPr>
        <w:t xml:space="preserve"> If you dispute any part of this claim, please set out the basis in writing within the same period. If you are unable to pay in full and wish to propose an arrangement,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 we would rather resolve this commercially.</w:t>
      </w:r>
    </w:p>
    <w:p>
      <w:pPr>
        <w:spacing w:after="16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[CREDITOR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ROUTES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084"/>
        <w:gridCol w:w="4241"/>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Route</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 suitable</w:t>
            </w:r>
          </w:p>
        </w:tc>
        <w:tc>
          <w:tcPr>
            <w:tcW w:type="dxa" w:w="42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Negotiated arrangement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Debtor willing but constrained</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it in writing with an acknowledgement of the debt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order / summary procedure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Debt evidenced in writing and undisputed</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Faster than full proceedings; requirements vary by court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Cheque enforcement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Holding a dishonoured cheque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 reformed in 2022</w:t>
            </w:r>
            <w:r>
              <w:rPr>
                <w:rFonts w:ascii="Calibri" w:cs="Calibri" w:eastAsia="Calibri" w:hAnsi="Calibri"/>
                <w:sz w:val="17"/>
                <w:szCs w:val="17"/>
              </w:rPr>
              <w:t xml:space="preserve"> — a cheque may be enforceable as an instrument of execution. Verify the current route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Onshore civil proceedings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 claims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Arabic; emirate courts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DIFC or ADGM courts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contract or parties connect to those jurisdictions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English language, common law procedure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Arbitration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contract requires it</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Commencing in court in breach of an arbitration clause is costly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 dispute mechanisms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zone provides one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zone rules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Insolvency proceedings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Debtor unable to pay debts generally</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Take advice; not a collection tool</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Write off</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Debtor insolvent or untraceable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Consider VAT bad debt relief</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Jurisdiction is the first question, not the last. An onshore court, a DIFC court and an arbitral tribunal are different forums with different languages, procedures, costs and enforcement routes. The contract usually decides it — read it before choosing.</w:t>
      </w:r>
    </w:p>
    <w:p>
      <w:pPr>
        <w:keepNext/>
        <w:spacing w:after="120" w:before="280"/>
        <w:outlineLvl w:val="0"/>
      </w:pPr>
      <w:r>
        <w:rPr>
          <w:rFonts w:ascii="Calibri" w:cs="Calibri" w:eastAsia="Calibri" w:hAnsi="Calibri"/>
          <w:b/>
          <w:bCs/>
          <w:color w:val="14161B"/>
          <w:sz w:val="22"/>
          <w:szCs w:val="22"/>
        </w:rPr>
        <w:t xml:space="preserve">4. AFTER SENDING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505"/>
        <w:gridCol w:w="173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Proof of delivery retained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sending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Response recorded and assessed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receipt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dispute evaluated on its merits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days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Payment plan documented with an acknowledgement of debt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agreement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Recoverability assessed before proceedings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filing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Legal advice taken where the amount justifies it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filing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Documents translated into Arabic where the forum requires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filing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Limitation position diarised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VAT bad debt relief considered on write-off</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write-off</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Credit terms for this customer reviewed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cheque position changed — verify it</w:t>
      </w:r>
    </w:p>
    <w:p>
      <w:pPr>
        <w:spacing w:after="60" w:line="264"/>
        <w:jc w:val="both"/>
      </w:pPr>
      <w:r>
        <w:rPr>
          <w:rFonts w:ascii="Calibri" w:cs="Calibri" w:eastAsia="Calibri" w:hAnsi="Calibri"/>
          <w:sz w:val="19"/>
          <w:szCs w:val="19"/>
        </w:rPr>
        <w:t xml:space="preserve">Dishonoured cheques were historically pursued through the criminal courts, and that shaped how credit was extended across the UAE. Reforms taking effect in 2022 substantially changed the position, with a dishonoured cheque capable of being treated as an instrument of execution permitting enforcement without full proceedings. This is the most misreported area in UAE practice — confirm the current route with a UAE lawyer rather than relying on either the old assumption or a general impression that cheques no longer matter.</w:t>
      </w:r>
    </w:p>
    <w:p>
      <w:pPr>
        <w:keepNext/>
        <w:spacing w:after="40" w:before="140"/>
      </w:pPr>
      <w:r>
        <w:rPr>
          <w:rFonts w:ascii="Calibri" w:cs="Calibri" w:eastAsia="Calibri" w:hAnsi="Calibri"/>
          <w:b/>
          <w:bCs/>
          <w:color w:val="14161B"/>
          <w:sz w:val="20"/>
          <w:szCs w:val="20"/>
        </w:rPr>
        <w:t xml:space="preserve">Establish the jurisdiction before anything else</w:t>
      </w:r>
    </w:p>
    <w:p>
      <w:pPr>
        <w:spacing w:after="60" w:line="264"/>
        <w:jc w:val="both"/>
      </w:pPr>
      <w:r>
        <w:rPr>
          <w:rFonts w:ascii="Calibri" w:cs="Calibri" w:eastAsia="Calibri" w:hAnsi="Calibri"/>
          <w:sz w:val="19"/>
          <w:szCs w:val="19"/>
        </w:rPr>
        <w:t xml:space="preserve">Onshore emirate courts, DIFC courts, ADGM courts, free zone mechanisms and arbitration are genuinely different forums with different languages, procedures and costs. The contract usually determines it. Filing in the wrong one wastes the fee and the time and can prejudice the claim.</w:t>
      </w:r>
    </w:p>
    <w:p>
      <w:pPr>
        <w:keepNext/>
        <w:spacing w:after="40" w:before="140"/>
      </w:pPr>
      <w:r>
        <w:rPr>
          <w:rFonts w:ascii="Calibri" w:cs="Calibri" w:eastAsia="Calibri" w:hAnsi="Calibri"/>
          <w:b/>
          <w:bCs/>
          <w:color w:val="14161B"/>
          <w:sz w:val="20"/>
          <w:szCs w:val="20"/>
        </w:rPr>
        <w:t xml:space="preserve">Call before you write</w:t>
      </w:r>
    </w:p>
    <w:p>
      <w:pPr>
        <w:spacing w:after="60" w:line="264"/>
        <w:jc w:val="both"/>
      </w:pPr>
      <w:r>
        <w:rPr>
          <w:rFonts w:ascii="Calibri" w:cs="Calibri" w:eastAsia="Calibri" w:hAnsi="Calibri"/>
          <w:sz w:val="19"/>
          <w:szCs w:val="19"/>
        </w:rPr>
        <w:t xml:space="preserve">A large share of overdue invoices are administrative — wrong address, absent approver, missing purchase order reference. A phone call resolves those at no cost to the relationship. Reserve the letter for genuine non-payment.</w:t>
      </w:r>
    </w:p>
    <w:p>
      <w:pPr>
        <w:keepNext/>
        <w:spacing w:after="40" w:before="140"/>
      </w:pPr>
      <w:r>
        <w:rPr>
          <w:rFonts w:ascii="Calibri" w:cs="Calibri" w:eastAsia="Calibri" w:hAnsi="Calibri"/>
          <w:b/>
          <w:bCs/>
          <w:color w:val="14161B"/>
          <w:sz w:val="20"/>
          <w:szCs w:val="20"/>
        </w:rPr>
        <w:t xml:space="preserve">Name the correct entity</w:t>
      </w:r>
    </w:p>
    <w:p>
      <w:pPr>
        <w:spacing w:after="60" w:line="264"/>
        <w:jc w:val="both"/>
      </w:pPr>
      <w:r>
        <w:rPr>
          <w:rFonts w:ascii="Calibri" w:cs="Calibri" w:eastAsia="Calibri" w:hAnsi="Calibri"/>
          <w:sz w:val="19"/>
          <w:szCs w:val="19"/>
        </w:rPr>
        <w:t xml:space="preserve">Trading names are not legal entities. Take the details from the current trade licence, and check whether the contracting party is the mainland entity, a free zone entity or a group affiliate. Suing the wrong one is a common and avoidable waste.</w:t>
      </w:r>
    </w:p>
    <w:p>
      <w:pPr>
        <w:keepNext/>
        <w:spacing w:after="40" w:before="140"/>
      </w:pPr>
      <w:r>
        <w:rPr>
          <w:rFonts w:ascii="Calibri" w:cs="Calibri" w:eastAsia="Calibri" w:hAnsi="Calibri"/>
          <w:b/>
          <w:bCs/>
          <w:color w:val="14161B"/>
          <w:sz w:val="20"/>
          <w:szCs w:val="20"/>
        </w:rPr>
        <w:t xml:space="preserve">Get the arithmetic right</w:t>
      </w:r>
    </w:p>
    <w:p>
      <w:pPr>
        <w:spacing w:after="60" w:line="264"/>
        <w:jc w:val="both"/>
      </w:pPr>
      <w:r>
        <w:rPr>
          <w:rFonts w:ascii="Calibri" w:cs="Calibri" w:eastAsia="Calibri" w:hAnsi="Calibri"/>
          <w:sz w:val="19"/>
          <w:szCs w:val="19"/>
        </w:rPr>
        <w:t xml:space="preserve">Credits, part payments and disputed lines must all be reflected. A demand for a figure the debtor can disprove hands them the initiative and undermines everything else in the letter.</w:t>
      </w:r>
    </w:p>
    <w:p>
      <w:pPr>
        <w:keepNext/>
        <w:spacing w:after="40" w:before="140"/>
      </w:pPr>
      <w:r>
        <w:rPr>
          <w:rFonts w:ascii="Calibri" w:cs="Calibri" w:eastAsia="Calibri" w:hAnsi="Calibri"/>
          <w:b/>
          <w:bCs/>
          <w:color w:val="14161B"/>
          <w:sz w:val="20"/>
          <w:szCs w:val="20"/>
        </w:rPr>
        <w:t xml:space="preserve">Only threaten what you will do</w:t>
      </w:r>
    </w:p>
    <w:p>
      <w:pPr>
        <w:spacing w:after="60" w:line="264"/>
        <w:jc w:val="both"/>
      </w:pPr>
      <w:r>
        <w:rPr>
          <w:rFonts w:ascii="Calibri" w:cs="Calibri" w:eastAsia="Calibri" w:hAnsi="Calibri"/>
          <w:sz w:val="19"/>
          <w:szCs w:val="19"/>
        </w:rPr>
        <w:t xml:space="preserve">A letter threatening immediate proceedings followed by months of silence teaches the debtor the threat is empty, and devalues every subsequent letter. State only what you are prepared to follow through.</w:t>
      </w:r>
    </w:p>
    <w:p>
      <w:pPr>
        <w:keepNext/>
        <w:spacing w:after="40" w:before="140"/>
      </w:pPr>
      <w:r>
        <w:rPr>
          <w:rFonts w:ascii="Calibri" w:cs="Calibri" w:eastAsia="Calibri" w:hAnsi="Calibri"/>
          <w:b/>
          <w:bCs/>
          <w:color w:val="14161B"/>
          <w:sz w:val="20"/>
          <w:szCs w:val="20"/>
        </w:rPr>
        <w:t xml:space="preserve">Leave a route to resolve</w:t>
      </w:r>
    </w:p>
    <w:p>
      <w:pPr>
        <w:spacing w:after="60" w:line="264"/>
        <w:jc w:val="both"/>
      </w:pPr>
      <w:r>
        <w:rPr>
          <w:rFonts w:ascii="Calibri" w:cs="Calibri" w:eastAsia="Calibri" w:hAnsi="Calibri"/>
          <w:sz w:val="19"/>
          <w:szCs w:val="19"/>
        </w:rPr>
        <w:t xml:space="preserve">Paragraph 5 invites either a substantive dispute or a payment proposal. Most commercial debts settle rather than litigate, and a letter that closes off discussion makes settlement harder without making recovery more likely.</w:t>
      </w:r>
    </w:p>
    <w:p>
      <w:pPr>
        <w:keepNext/>
        <w:spacing w:after="40" w:before="140"/>
      </w:pPr>
      <w:r>
        <w:rPr>
          <w:rFonts w:ascii="Calibri" w:cs="Calibri" w:eastAsia="Calibri" w:hAnsi="Calibri"/>
          <w:b/>
          <w:bCs/>
          <w:color w:val="14161B"/>
          <w:sz w:val="20"/>
          <w:szCs w:val="20"/>
        </w:rPr>
        <w:t xml:space="preserve">An acknowledgement of debt is valuable</w:t>
      </w:r>
    </w:p>
    <w:p>
      <w:pPr>
        <w:spacing w:after="60" w:line="264"/>
        <w:jc w:val="both"/>
      </w:pPr>
      <w:r>
        <w:rPr>
          <w:rFonts w:ascii="Calibri" w:cs="Calibri" w:eastAsia="Calibri" w:hAnsi="Calibri"/>
          <w:sz w:val="19"/>
          <w:szCs w:val="19"/>
        </w:rPr>
        <w:t xml:space="preserve">Where a payment plan is agreed, document it with a written acknowledgement of the amount owed. It makes the debt far easier to prove and may affect the limitation position. It costs one email.</w:t>
      </w:r>
    </w:p>
    <w:p>
      <w:pPr>
        <w:keepNext/>
        <w:spacing w:after="40" w:before="140"/>
      </w:pPr>
      <w:r>
        <w:rPr>
          <w:rFonts w:ascii="Calibri" w:cs="Calibri" w:eastAsia="Calibri" w:hAnsi="Calibri"/>
          <w:b/>
          <w:bCs/>
          <w:color w:val="14161B"/>
          <w:sz w:val="20"/>
          <w:szCs w:val="20"/>
        </w:rPr>
        <w:t xml:space="preserve">Watch limitation</w:t>
      </w:r>
    </w:p>
    <w:p>
      <w:pPr>
        <w:spacing w:after="60" w:line="264"/>
        <w:jc w:val="both"/>
      </w:pPr>
      <w:r>
        <w:rPr>
          <w:rFonts w:ascii="Calibri" w:cs="Calibri" w:eastAsia="Calibri" w:hAnsi="Calibri"/>
          <w:sz w:val="19"/>
          <w:szCs w:val="19"/>
        </w:rPr>
        <w:t xml:space="preserve">Limitation periods vary by claim type and can be shorter than expected for certain commercial claims. Debts sitting on a ledger become unenforceable quietly. Diarise the position at the outset and take advice where the debt is ageing.</w:t>
      </w:r>
    </w:p>
    <w:p>
      <w:pPr>
        <w:keepNext/>
        <w:spacing w:after="40" w:before="140"/>
      </w:pPr>
      <w:r>
        <w:rPr>
          <w:rFonts w:ascii="Calibri" w:cs="Calibri" w:eastAsia="Calibri" w:hAnsi="Calibri"/>
          <w:b/>
          <w:bCs/>
          <w:color w:val="14161B"/>
          <w:sz w:val="20"/>
          <w:szCs w:val="20"/>
        </w:rPr>
        <w:t xml:space="preserve">Assess recoverability before spending</w:t>
      </w:r>
    </w:p>
    <w:p>
      <w:pPr>
        <w:spacing w:after="60" w:line="264"/>
        <w:jc w:val="both"/>
      </w:pPr>
      <w:r>
        <w:rPr>
          <w:rFonts w:ascii="Calibri" w:cs="Calibri" w:eastAsia="Calibri" w:hAnsi="Calibri"/>
          <w:sz w:val="19"/>
          <w:szCs w:val="19"/>
        </w:rPr>
        <w:t xml:space="preserve">A judgment against a company with no assets is an expensive piece of paper, and enforcement against a debtor who has left the UAE is harder still. Check the debtor’s standing, licence status and any known enforcement against them before committing to proceedings.</w:t>
      </w:r>
    </w:p>
    <w:p>
      <w:pPr>
        <w:keepNext/>
        <w:spacing w:after="40" w:before="140"/>
      </w:pPr>
      <w:r>
        <w:rPr>
          <w:rFonts w:ascii="Calibri" w:cs="Calibri" w:eastAsia="Calibri" w:hAnsi="Calibri"/>
          <w:b/>
          <w:bCs/>
          <w:color w:val="14161B"/>
          <w:sz w:val="20"/>
          <w:szCs w:val="20"/>
        </w:rPr>
        <w:t xml:space="preserve">Arabic translation is a real cost and a real delay</w:t>
      </w:r>
    </w:p>
    <w:p>
      <w:pPr>
        <w:spacing w:after="60" w:line="264"/>
        <w:jc w:val="both"/>
      </w:pPr>
      <w:r>
        <w:rPr>
          <w:rFonts w:ascii="Calibri" w:cs="Calibri" w:eastAsia="Calibri" w:hAnsi="Calibri"/>
          <w:sz w:val="19"/>
          <w:szCs w:val="19"/>
        </w:rPr>
        <w:t xml:space="preserve">Onshore proceedings run in Arabic and documents require legal translation. For a document-heavy claim this is a significant line item and takes time. Factor it into the decision to litigate, and into the settlement calculation.</w:t>
      </w:r>
    </w:p>
    <w:p>
      <w:pPr>
        <w:keepNext/>
        <w:spacing w:after="40" w:before="140"/>
      </w:pPr>
      <w:r>
        <w:rPr>
          <w:rFonts w:ascii="Calibri" w:cs="Calibri" w:eastAsia="Calibri" w:hAnsi="Calibri"/>
          <w:b/>
          <w:bCs/>
          <w:color w:val="14161B"/>
          <w:sz w:val="20"/>
          <w:szCs w:val="20"/>
        </w:rPr>
        <w:t xml:space="preserve">Check the dispute resolution clause first</w:t>
      </w:r>
    </w:p>
    <w:p>
      <w:pPr>
        <w:spacing w:after="60" w:line="264"/>
        <w:jc w:val="both"/>
      </w:pPr>
      <w:r>
        <w:rPr>
          <w:rFonts w:ascii="Calibri" w:cs="Calibri" w:eastAsia="Calibri" w:hAnsi="Calibri"/>
          <w:sz w:val="19"/>
          <w:szCs w:val="19"/>
        </w:rPr>
        <w:t xml:space="preserve">Where the contract requires arbitration or names a specific forum, commencing elsewhere can lead to a stay and an adverse costs order. Read the clause before choosing the route — it is the cheapest step in the whole process.</w:t>
      </w:r>
    </w:p>
    <w:p>
      <w:pPr>
        <w:keepNext/>
        <w:spacing w:after="40" w:before="140"/>
      </w:pPr>
      <w:r>
        <w:rPr>
          <w:rFonts w:ascii="Calibri" w:cs="Calibri" w:eastAsia="Calibri" w:hAnsi="Calibri"/>
          <w:b/>
          <w:bCs/>
          <w:color w:val="14161B"/>
          <w:sz w:val="20"/>
          <w:szCs w:val="20"/>
        </w:rPr>
        <w:t xml:space="preserve">Consider VAT bad debt relief</w:t>
      </w:r>
    </w:p>
    <w:p>
      <w:pPr>
        <w:spacing w:after="60" w:line="264"/>
        <w:jc w:val="both"/>
      </w:pPr>
      <w:r>
        <w:rPr>
          <w:rFonts w:ascii="Calibri" w:cs="Calibri" w:eastAsia="Calibri" w:hAnsi="Calibri"/>
          <w:sz w:val="19"/>
          <w:szCs w:val="19"/>
        </w:rPr>
        <w:t xml:space="preserve">Where VAT has been accounted for on a supply that is never paid for, relief may be available on write-off subject to conditions. It is routinely forgotten and it is real money.</w:t>
      </w:r>
    </w:p>
    <w:p>
      <w:pPr>
        <w:keepNext/>
        <w:spacing w:after="40" w:before="140"/>
      </w:pPr>
      <w:r>
        <w:rPr>
          <w:rFonts w:ascii="Calibri" w:cs="Calibri" w:eastAsia="Calibri" w:hAnsi="Calibri"/>
          <w:b/>
          <w:bCs/>
          <w:color w:val="14161B"/>
          <w:sz w:val="20"/>
          <w:szCs w:val="20"/>
        </w:rPr>
        <w:t xml:space="preserve">Fix the cause, not just the symptom</w:t>
      </w:r>
    </w:p>
    <w:p>
      <w:pPr>
        <w:spacing w:after="60" w:line="264"/>
        <w:jc w:val="both"/>
      </w:pPr>
      <w:r>
        <w:rPr>
          <w:rFonts w:ascii="Calibri" w:cs="Calibri" w:eastAsia="Calibri" w:hAnsi="Calibri"/>
          <w:sz w:val="19"/>
          <w:szCs w:val="19"/>
        </w:rPr>
        <w:t xml:space="preserve">A debt that reached a letter of demand usually reflects a credit control gap — no credit check, terms never agreed, invoices issued late, no follow-up until ninety days. Step 10 asks the question that prevents the next one.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treatment and enforcement of dishonoured cheques changed materially in 2022 and continues to develop.</w:t>
      </w:r>
      <w:r>
        <w:rPr>
          <w:rFonts w:ascii="Calibri" w:cs="Calibri" w:eastAsia="Calibri" w:hAnsi="Calibri"/>
          <w:sz w:val="19"/>
          <w:szCs w:val="19"/>
        </w:rPr>
        <w:t xml:space="preserve"> Limitation periods, court procedures, payment order requirements, DIFC and ADGM jurisdiction and VAT bad debt relief conditions all change — take UAE legal advice before commencing any recovery action.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2026-08-23T16:28:34.068Z</dcterms:created>
  <dcterms:modified xsi:type="dcterms:W3CDTF">2026-08-23T16:28:34.068Z</dcterms:modified>
</cp:coreProperties>
</file>

<file path=docProps/custom.xml><?xml version="1.0" encoding="utf-8"?>
<Properties xmlns="http://schemas.openxmlformats.org/officeDocument/2006/custom-properties" xmlns:vt="http://schemas.openxmlformats.org/officeDocument/2006/docPropsVTypes"/>
</file>