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DATA PROTECTION OFFICER</w:t>
      </w:r>
    </w:p>
    <w:p>
      <w:pPr>
        <w:spacing w:after="260"/>
        <w:jc w:val="center"/>
      </w:pPr>
      <w:r>
        <w:rPr>
          <w:rFonts w:ascii="Calibri" w:cs="Calibri" w:eastAsia="Calibri" w:hAnsi="Calibri"/>
          <w:i/>
          <w:iCs/>
          <w:color w:val="6E7480"/>
          <w:sz w:val="19"/>
          <w:szCs w:val="19"/>
        </w:rPr>
        <w:t xml:space="preserve">Appointment, duties and independence</w:t>
      </w:r>
    </w:p>
    <w:p>
      <w:pPr>
        <w:spacing w:after="180" w:before="0" w:line="276"/>
        <w:jc w:val="both"/>
      </w:pPr>
      <w:r>
        <w:rPr>
          <w:rFonts w:ascii="Calibri" w:cs="Calibri" w:eastAsia="Calibri" w:hAnsi="Calibri"/>
          <w:i/>
          <w:iCs/>
          <w:color w:val="6E7480"/>
          <w:sz w:val="21"/>
          <w:szCs w:val="21"/>
        </w:rPr>
        <w:t xml:space="preserve">Whether an appointment is mandatory depends on which regime governs you and on the risk of your processing — not on your headcount. Where there is genuine doubt, appoint. The cost is small, the position is defensible, and an organisation that considered the question and appointed looks entirely different from one that never asked.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Organisation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Applicable regime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[Federal PDPL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 Data Office / DIFC Commissioner / ADGM Office of Data Protection]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Appointment mandatory?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assessed at Section 1 on ______]</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Appointee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Internal or external</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 external appointment]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Published contact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r>
              <w:rPr>
                <w:rFonts w:ascii="Calibri" w:cs="Calibri" w:eastAsia="Calibri" w:hAnsi="Calibri"/>
                <w:sz w:val="19"/>
                <w:szCs w:val="19"/>
              </w:rPr>
              <w:t xml:space="preserve">, </w:t>
            </w:r>
            <w:r>
              <w:rPr>
                <w:rFonts w:ascii="Calibri" w:cs="Calibri" w:eastAsia="Calibri" w:hAnsi="Calibri"/>
                <w:b/>
                <w:bCs/>
                <w:sz w:val="19"/>
                <w:szCs w:val="19"/>
              </w:rPr>
              <w:t xml:space="preserve">[POSTAL ADDRESS]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Notified to the regulator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 Not required — confirm]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Reports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[Board / Managing Director]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Time allocated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[DAYS]</w:t>
            </w:r>
            <w:r>
              <w:rPr>
                <w:rFonts w:ascii="Calibri" w:cs="Calibri" w:eastAsia="Calibri" w:hAnsi="Calibri"/>
                <w:sz w:val="19"/>
                <w:szCs w:val="19"/>
              </w:rPr>
              <w:t xml:space="preserve"> per </w:t>
            </w:r>
            <w:r>
              <w:rPr>
                <w:rFonts w:ascii="Calibri" w:cs="Calibri" w:eastAsia="Calibri" w:hAnsi="Calibri"/>
                <w:b/>
                <w:bCs/>
                <w:sz w:val="19"/>
                <w:szCs w:val="19"/>
              </w:rPr>
              <w:t xml:space="preserve">[month]</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IS AN APPOINTMENT REQUIRED?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975"/>
        <w:gridCol w:w="3182"/>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Trigger</w:t>
            </w:r>
          </w:p>
        </w:tc>
        <w:tc>
          <w:tcPr>
            <w:tcW w:type="dxa" w:w="31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Applies?</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Processing likely to result in a </w:t>
            </w:r>
            <w:r>
              <w:rPr>
                <w:rFonts w:ascii="Calibri" w:cs="Calibri" w:eastAsia="Calibri" w:hAnsi="Calibri"/>
                <w:b/>
                <w:bCs/>
                <w:sz w:val="18"/>
                <w:szCs w:val="18"/>
              </w:rPr>
              <w:t xml:space="preserve">high risk</w:t>
            </w:r>
            <w:r>
              <w:rPr>
                <w:rFonts w:ascii="Calibri" w:cs="Calibri" w:eastAsia="Calibri" w:hAnsi="Calibri"/>
                <w:sz w:val="18"/>
                <w:szCs w:val="18"/>
              </w:rPr>
              <w:t xml:space="preserve"> to data subjects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Large-scale processing of </w:t>
            </w:r>
            <w:r>
              <w:rPr>
                <w:rFonts w:ascii="Calibri" w:cs="Calibri" w:eastAsia="Calibri" w:hAnsi="Calibri"/>
                <w:b/>
                <w:bCs/>
                <w:sz w:val="18"/>
                <w:szCs w:val="18"/>
              </w:rPr>
              <w:t xml:space="preserve">special or sensitive categories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Systematic or extensive </w:t>
            </w:r>
            <w:r>
              <w:rPr>
                <w:rFonts w:ascii="Calibri" w:cs="Calibri" w:eastAsia="Calibri" w:hAnsi="Calibri"/>
                <w:b/>
                <w:bCs/>
                <w:sz w:val="18"/>
                <w:szCs w:val="18"/>
              </w:rPr>
              <w:t xml:space="preserve">automated evaluation</w:t>
            </w:r>
            <w:r>
              <w:rPr>
                <w:rFonts w:ascii="Calibri" w:cs="Calibri" w:eastAsia="Calibri" w:hAnsi="Calibri"/>
                <w:sz w:val="18"/>
                <w:szCs w:val="18"/>
              </w:rPr>
              <w:t xml:space="preserve"> producing legal or significant effects</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Systematic </w:t>
            </w:r>
            <w:r>
              <w:rPr>
                <w:rFonts w:ascii="Calibri" w:cs="Calibri" w:eastAsia="Calibri" w:hAnsi="Calibri"/>
                <w:b/>
                <w:bCs/>
                <w:sz w:val="18"/>
                <w:szCs w:val="18"/>
              </w:rPr>
              <w:t xml:space="preserve">monitoring of a publicly accessible area</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Use of </w:t>
            </w:r>
            <w:r>
              <w:rPr>
                <w:rFonts w:ascii="Calibri" w:cs="Calibri" w:eastAsia="Calibri" w:hAnsi="Calibri"/>
                <w:b/>
                <w:bCs/>
                <w:sz w:val="18"/>
                <w:szCs w:val="18"/>
              </w:rPr>
              <w:t xml:space="preserve">new technologies</w:t>
            </w:r>
            <w:r>
              <w:rPr>
                <w:rFonts w:ascii="Calibri" w:cs="Calibri" w:eastAsia="Calibri" w:hAnsi="Calibri"/>
                <w:sz w:val="18"/>
                <w:szCs w:val="18"/>
              </w:rPr>
              <w:t xml:space="preserve"> in processing</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Processing as a </w:t>
            </w:r>
            <w:r>
              <w:rPr>
                <w:rFonts w:ascii="Calibri" w:cs="Calibri" w:eastAsia="Calibri" w:hAnsi="Calibri"/>
                <w:b/>
                <w:bCs/>
                <w:sz w:val="18"/>
                <w:szCs w:val="18"/>
              </w:rPr>
              <w:t xml:space="preserve">core activity</w:t>
            </w:r>
            <w:r>
              <w:rPr>
                <w:rFonts w:ascii="Calibri" w:cs="Calibri" w:eastAsia="Calibri" w:hAnsi="Calibri"/>
                <w:sz w:val="18"/>
                <w:szCs w:val="18"/>
              </w:rPr>
              <w:t xml:space="preserve"> rather than incidental</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Large volumes of personal data relative to the organisation</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regulator, customer or contract requires one</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Conclusion</w:t>
            </w:r>
          </w:p>
        </w:tc>
        <w:tc>
          <w:tcPr>
            <w:tcW w:type="dxa" w:w="318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[Mandatory / Voluntary but appointed / Not appointed — reasoning recorded]</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Health data is the trigger organisations miss. Every UAE employer processes medical testing results and health insurance data for its staff — sensitive category data — and many conclude they hold nothing sensitive.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Record the assessment either way.</w:t>
      </w:r>
      <w:r>
        <w:rPr>
          <w:rFonts w:ascii="Calibri" w:cs="Calibri" w:eastAsia="Calibri" w:hAnsi="Calibri"/>
          <w:sz w:val="21"/>
          <w:szCs w:val="21"/>
        </w:rPr>
        <w:t xml:space="preserve"> A documented decision not to appoint, with reasoning, is defensible. Silence is not.</w:t>
      </w:r>
    </w:p>
    <w:p>
      <w:pPr>
        <w:keepNext/>
        <w:spacing w:after="120" w:before="280"/>
        <w:outlineLvl w:val="0"/>
      </w:pPr>
      <w:r>
        <w:rPr>
          <w:rFonts w:ascii="Calibri" w:cs="Calibri" w:eastAsia="Calibri" w:hAnsi="Calibri"/>
          <w:b/>
          <w:bCs/>
          <w:color w:val="14161B"/>
          <w:sz w:val="22"/>
          <w:szCs w:val="22"/>
        </w:rPr>
        <w:t xml:space="preserve">2. WHO CAN DO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Expert knowledge</w:t>
            </w:r>
            <w:r>
              <w:rPr>
                <w:rFonts w:ascii="Calibri" w:cs="Calibri" w:eastAsia="Calibri" w:hAnsi="Calibri"/>
                <w:sz w:val="18"/>
                <w:szCs w:val="18"/>
              </w:rPr>
              <w:t xml:space="preserve"> of data protection law and practice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Proportionate to the complexity of the processing</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Understanding of the organisation’s operations and systems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Cannot advise without knowing what is processed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Independence</w:t>
            </w:r>
            <w:r>
              <w:rPr>
                <w:rFonts w:ascii="Calibri" w:cs="Calibri" w:eastAsia="Calibri" w:hAnsi="Calibri"/>
                <w:sz w:val="18"/>
                <w:szCs w:val="18"/>
              </w:rPr>
              <w:t xml:space="preserve"> in performing the role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 instruction on how to carry out the tasks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 conflict of interest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See Section 3 — this rules out several obvious candidates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Accessible to data subjects and staff</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Published contact details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Sufficient time and resources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a title added to a full workload</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[Residence or presence]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whether the regime requires local presence]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role may be filled by an </w:t>
      </w:r>
      <w:r>
        <w:rPr>
          <w:rFonts w:ascii="Calibri" w:cs="Calibri" w:eastAsia="Calibri" w:hAnsi="Calibri"/>
          <w:b/>
          <w:bCs/>
          <w:sz w:val="21"/>
          <w:szCs w:val="21"/>
        </w:rPr>
        <w:t xml:space="preserve">employee</w:t>
      </w:r>
      <w:r>
        <w:rPr>
          <w:rFonts w:ascii="Calibri" w:cs="Calibri" w:eastAsia="Calibri" w:hAnsi="Calibri"/>
          <w:sz w:val="21"/>
          <w:szCs w:val="21"/>
        </w:rPr>
        <w:t xml:space="preserve"> or by an </w:t>
      </w:r>
      <w:r>
        <w:rPr>
          <w:rFonts w:ascii="Calibri" w:cs="Calibri" w:eastAsia="Calibri" w:hAnsi="Calibri"/>
          <w:b/>
          <w:bCs/>
          <w:sz w:val="21"/>
          <w:szCs w:val="21"/>
        </w:rPr>
        <w:t xml:space="preserve">external appointment</w:t>
      </w:r>
      <w:r>
        <w:rPr>
          <w:rFonts w:ascii="Calibri" w:cs="Calibri" w:eastAsia="Calibri" w:hAnsi="Calibri"/>
          <w:sz w:val="21"/>
          <w:szCs w:val="21"/>
        </w:rPr>
        <w:t xml:space="preserve">. An external DPO is common for smaller organisations and removes most conflict problems.</w:t>
      </w:r>
    </w:p>
    <w:p>
      <w:pPr>
        <w:keepNext/>
        <w:spacing w:after="120" w:before="280"/>
        <w:outlineLvl w:val="0"/>
      </w:pPr>
      <w:r>
        <w:rPr>
          <w:rFonts w:ascii="Calibri" w:cs="Calibri" w:eastAsia="Calibri" w:hAnsi="Calibri"/>
          <w:b/>
          <w:bCs/>
          <w:color w:val="14161B"/>
          <w:sz w:val="22"/>
          <w:szCs w:val="22"/>
        </w:rPr>
        <w:t xml:space="preserve">3. CONFLICTS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DPO must not hold a role in which they </w:t>
      </w:r>
      <w:r>
        <w:rPr>
          <w:rFonts w:ascii="Calibri" w:cs="Calibri" w:eastAsia="Calibri" w:hAnsi="Calibri"/>
          <w:b/>
          <w:bCs/>
          <w:sz w:val="21"/>
          <w:szCs w:val="21"/>
        </w:rPr>
        <w:t xml:space="preserve">determine the purposes and means of processing</w:t>
      </w:r>
      <w:r>
        <w:rPr>
          <w:rFonts w:ascii="Calibri" w:cs="Calibri" w:eastAsia="Calibri" w:hAnsi="Calibri"/>
          <w:sz w:val="21"/>
          <w:szCs w:val="21"/>
        </w:rPr>
        <w:t xml:space="preserve"> — because they would then be reviewing their own decisions.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Role</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Suitable?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Head of IT</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 not</w:t>
            </w:r>
            <w:r>
              <w:rPr>
                <w:rFonts w:ascii="Calibri" w:cs="Calibri" w:eastAsia="Calibri" w:hAnsi="Calibri"/>
                <w:sz w:val="18"/>
                <w:szCs w:val="18"/>
              </w:rPr>
              <w:t xml:space="preserve"> — decides how data is processed</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Head of HR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 not</w:t>
            </w:r>
            <w:r>
              <w:rPr>
                <w:rFonts w:ascii="Calibri" w:cs="Calibri" w:eastAsia="Calibri" w:hAnsi="Calibri"/>
                <w:sz w:val="18"/>
                <w:szCs w:val="18"/>
              </w:rPr>
              <w:t xml:space="preserve"> — decides employee data processing</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Head of Marketing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 not</w:t>
            </w:r>
            <w:r>
              <w:rPr>
                <w:rFonts w:ascii="Calibri" w:cs="Calibri" w:eastAsia="Calibri" w:hAnsi="Calibri"/>
                <w:sz w:val="18"/>
                <w:szCs w:val="18"/>
              </w:rPr>
              <w:t xml:space="preserve"> — decides customer data processing</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Managing Director or CEO</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w:t>
            </w:r>
            <w:r>
              <w:rPr>
                <w:rFonts w:ascii="Calibri" w:cs="Calibri" w:eastAsia="Calibri" w:hAnsi="Calibri"/>
                <w:sz w:val="18"/>
                <w:szCs w:val="18"/>
              </w:rPr>
              <w:t xml:space="preserve"> — determines purposes across the organisation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Head of Legal or Compliance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[Often workable]</w:t>
            </w:r>
            <w:r>
              <w:rPr>
                <w:rFonts w:ascii="Calibri" w:cs="Calibri" w:eastAsia="Calibri" w:hAnsi="Calibri"/>
                <w:sz w:val="18"/>
                <w:szCs w:val="18"/>
              </w:rPr>
              <w:t xml:space="preserve"> — assess the specific responsibilities</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Company Secretary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[Often workable]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Finance, with no system ownership</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[Possible]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External adviser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Usually the cleanest</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The IT manager is the most common appointment and one of the least suitable. They build and run the systems; asking them to independently assess whether those systems comply is asking them to audit themselves.</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DUTIES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DPO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inform and advise the organisation and its staff of their obligations;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monitor compliance, including the allocation of responsibilities, awareness and training;</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advise on </w:t>
      </w:r>
      <w:r>
        <w:rPr>
          <w:rFonts w:ascii="Calibri" w:cs="Calibri" w:eastAsia="Calibri" w:hAnsi="Calibri"/>
          <w:b/>
          <w:bCs/>
          <w:sz w:val="21"/>
          <w:szCs w:val="21"/>
        </w:rPr>
        <w:t xml:space="preserve">data protection impact assessments</w:t>
      </w:r>
      <w:r>
        <w:rPr>
          <w:rFonts w:ascii="Calibri" w:cs="Calibri" w:eastAsia="Calibri" w:hAnsi="Calibri"/>
          <w:sz w:val="21"/>
          <w:szCs w:val="21"/>
        </w:rPr>
        <w:t xml:space="preserve"> and monitor their performance;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be the </w:t>
      </w:r>
      <w:r>
        <w:rPr>
          <w:rFonts w:ascii="Calibri" w:cs="Calibri" w:eastAsia="Calibri" w:hAnsi="Calibri"/>
          <w:b/>
          <w:bCs/>
          <w:sz w:val="21"/>
          <w:szCs w:val="21"/>
        </w:rPr>
        <w:t xml:space="preserve">contact point for data subjects</w:t>
      </w:r>
      <w:r>
        <w:rPr>
          <w:rFonts w:ascii="Calibri" w:cs="Calibri" w:eastAsia="Calibri" w:hAnsi="Calibri"/>
          <w:sz w:val="21"/>
          <w:szCs w:val="21"/>
        </w:rPr>
        <w:t xml:space="preserve"> on all matters relating to their personal data;</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be the </w:t>
      </w:r>
      <w:r>
        <w:rPr>
          <w:rFonts w:ascii="Calibri" w:cs="Calibri" w:eastAsia="Calibri" w:hAnsi="Calibri"/>
          <w:b/>
          <w:bCs/>
          <w:sz w:val="21"/>
          <w:szCs w:val="21"/>
        </w:rPr>
        <w:t xml:space="preserve">contact point for the regulator</w:t>
      </w:r>
      <w:r>
        <w:rPr>
          <w:rFonts w:ascii="Calibri" w:cs="Calibri" w:eastAsia="Calibri" w:hAnsi="Calibri"/>
          <w:sz w:val="21"/>
          <w:szCs w:val="21"/>
        </w:rPr>
        <w:t xml:space="preserve"> and co-operate with it;</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oversee the response to </w:t>
      </w:r>
      <w:r>
        <w:rPr>
          <w:rFonts w:ascii="Calibri" w:cs="Calibri" w:eastAsia="Calibri" w:hAnsi="Calibri"/>
          <w:b/>
          <w:bCs/>
          <w:sz w:val="21"/>
          <w:szCs w:val="21"/>
        </w:rPr>
        <w:t xml:space="preserve">data subject requests</w:t>
      </w:r>
      <w:r>
        <w:rPr>
          <w:rFonts w:ascii="Calibri" w:cs="Calibri" w:eastAsia="Calibri" w:hAnsi="Calibri"/>
          <w:sz w:val="21"/>
          <w:szCs w:val="21"/>
        </w:rPr>
        <w:t xml:space="preserve"> and to </w:t>
      </w:r>
      <w:r>
        <w:rPr>
          <w:rFonts w:ascii="Calibri" w:cs="Calibri" w:eastAsia="Calibri" w:hAnsi="Calibri"/>
          <w:b/>
          <w:bCs/>
          <w:sz w:val="21"/>
          <w:szCs w:val="21"/>
        </w:rPr>
        <w:t xml:space="preserve">personal data breaches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maintain or oversee the </w:t>
      </w:r>
      <w:r>
        <w:rPr>
          <w:rFonts w:ascii="Calibri" w:cs="Calibri" w:eastAsia="Calibri" w:hAnsi="Calibri"/>
          <w:b/>
          <w:bCs/>
          <w:sz w:val="21"/>
          <w:szCs w:val="21"/>
        </w:rPr>
        <w:t xml:space="preserve">record of processing activities</w:t>
      </w:r>
      <w:r>
        <w:rPr>
          <w:rFonts w:ascii="Calibri" w:cs="Calibri" w:eastAsia="Calibri" w:hAnsi="Calibri"/>
          <w:sz w:val="21"/>
          <w:szCs w:val="21"/>
        </w:rPr>
        <w:t xml:space="preserve">, the transfer register and the breach register; and</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report to the Board at least </w:t>
      </w:r>
      <w:r>
        <w:rPr>
          <w:rFonts w:ascii="Calibri" w:cs="Calibri" w:eastAsia="Calibri" w:hAnsi="Calibri"/>
          <w:b/>
          <w:bCs/>
          <w:sz w:val="21"/>
          <w:szCs w:val="21"/>
        </w:rPr>
        <w:t xml:space="preserve">[annually]</w:t>
      </w:r>
      <w:r>
        <w:rPr>
          <w:rFonts w:ascii="Calibri" w:cs="Calibri" w:eastAsia="Calibri" w:hAnsi="Calibri"/>
          <w:sz w:val="21"/>
          <w:szCs w:val="21"/>
        </w:rPr>
        <w:t xml:space="preserve">, and immediately on any material matter.</w:t>
      </w:r>
    </w:p>
    <w:p>
      <w:pPr>
        <w:keepNext/>
        <w:spacing w:after="120" w:before="280"/>
        <w:outlineLvl w:val="0"/>
      </w:pPr>
      <w:r>
        <w:rPr>
          <w:rFonts w:ascii="Calibri" w:cs="Calibri" w:eastAsia="Calibri" w:hAnsi="Calibri"/>
          <w:b/>
          <w:bCs/>
          <w:color w:val="14161B"/>
          <w:sz w:val="22"/>
          <w:szCs w:val="22"/>
        </w:rPr>
        <w:t xml:space="preserve">5. THE ORGANISATION’S OBLIGATIONS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organisation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involve the DPO </w:t>
      </w:r>
      <w:r>
        <w:rPr>
          <w:rFonts w:ascii="Calibri" w:cs="Calibri" w:eastAsia="Calibri" w:hAnsi="Calibri"/>
          <w:b/>
          <w:bCs/>
          <w:sz w:val="21"/>
          <w:szCs w:val="21"/>
        </w:rPr>
        <w:t xml:space="preserve">properly and in a timely manner</w:t>
      </w:r>
      <w:r>
        <w:rPr>
          <w:rFonts w:ascii="Calibri" w:cs="Calibri" w:eastAsia="Calibri" w:hAnsi="Calibri"/>
          <w:sz w:val="21"/>
          <w:szCs w:val="21"/>
        </w:rPr>
        <w:t xml:space="preserve"> in all matters relating to personal data — not after decisions are made;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provide the resources, access to data and processing operations, and time necessary;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support the DPO in maintaining expert knowledge;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not instruct the DPO on how to carry out the tasks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not dismiss or penalise the DPO for performing the role</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ensure the DPO reports to the highest management level.</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i/>
          <w:iCs/>
          <w:sz w:val="21"/>
          <w:szCs w:val="21"/>
        </w:rPr>
        <w:t xml:space="preserve">Clause 5.1(a) is where appointments fail in practice. A DPO told about a new system after it has gone live has been informed, not involved, and the impact assessment becomes a retrospective justification.</w:t>
      </w:r>
    </w:p>
    <w:p>
      <w:pPr>
        <w:keepNext/>
        <w:spacing w:after="120" w:before="280"/>
        <w:outlineLvl w:val="0"/>
      </w:pPr>
      <w:r>
        <w:rPr>
          <w:rFonts w:ascii="Calibri" w:cs="Calibri" w:eastAsia="Calibri" w:hAnsi="Calibri"/>
          <w:b/>
          <w:bCs/>
          <w:color w:val="14161B"/>
          <w:sz w:val="22"/>
          <w:szCs w:val="22"/>
        </w:rPr>
        <w:t xml:space="preserve">6. PUBLICATION AND NOTIFICATION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DPO’s </w:t>
      </w:r>
      <w:r>
        <w:rPr>
          <w:rFonts w:ascii="Calibri" w:cs="Calibri" w:eastAsia="Calibri" w:hAnsi="Calibri"/>
          <w:b/>
          <w:bCs/>
          <w:sz w:val="21"/>
          <w:szCs w:val="21"/>
        </w:rPr>
        <w:t xml:space="preserve">business contact details shall be published</w:t>
      </w:r>
      <w:r>
        <w:rPr>
          <w:rFonts w:ascii="Calibri" w:cs="Calibri" w:eastAsia="Calibri" w:hAnsi="Calibri"/>
          <w:sz w:val="21"/>
          <w:szCs w:val="21"/>
        </w:rPr>
        <w:t xml:space="preserve"> — in the privacy notice, on the website, and to employees.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contact must be </w:t>
      </w:r>
      <w:r>
        <w:rPr>
          <w:rFonts w:ascii="Calibri" w:cs="Calibri" w:eastAsia="Calibri" w:hAnsi="Calibri"/>
          <w:b/>
          <w:bCs/>
          <w:sz w:val="21"/>
          <w:szCs w:val="21"/>
        </w:rPr>
        <w:t xml:space="preserve">monitored</w:t>
      </w:r>
      <w:r>
        <w:rPr>
          <w:rFonts w:ascii="Calibri" w:cs="Calibri" w:eastAsia="Calibri" w:hAnsi="Calibri"/>
          <w:sz w:val="21"/>
          <w:szCs w:val="21"/>
        </w:rPr>
        <w:t xml:space="preserve">. An address nobody reads is worse than none, because it evidences a failure to respond.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[Where the regime requires]</w:t>
      </w:r>
      <w:r>
        <w:rPr>
          <w:rFonts w:ascii="Calibri" w:cs="Calibri" w:eastAsia="Calibri" w:hAnsi="Calibri"/>
          <w:sz w:val="21"/>
          <w:szCs w:val="21"/>
        </w:rPr>
        <w:t xml:space="preserve"> The appointment shall be </w:t>
      </w:r>
      <w:r>
        <w:rPr>
          <w:rFonts w:ascii="Calibri" w:cs="Calibri" w:eastAsia="Calibri" w:hAnsi="Calibri"/>
          <w:b/>
          <w:bCs/>
          <w:sz w:val="21"/>
          <w:szCs w:val="21"/>
        </w:rPr>
        <w:t xml:space="preserve">notified to the regulator</w:t>
      </w:r>
      <w:r>
        <w:rPr>
          <w:rFonts w:ascii="Calibri" w:cs="Calibri" w:eastAsia="Calibri" w:hAnsi="Calibri"/>
          <w:sz w:val="21"/>
          <w:szCs w:val="21"/>
        </w:rPr>
        <w:t xml:space="preserve">, and any change notified.</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Personal contact details of the individual need not be published — a role-based address is sufficient and is better practice.</w:t>
      </w:r>
    </w:p>
    <w:p>
      <w:pPr>
        <w:keepNext/>
        <w:spacing w:after="120" w:before="280"/>
        <w:outlineLvl w:val="0"/>
      </w:pPr>
      <w:r>
        <w:rPr>
          <w:rFonts w:ascii="Calibri" w:cs="Calibri" w:eastAsia="Calibri" w:hAnsi="Calibri"/>
          <w:b/>
          <w:bCs/>
          <w:color w:val="14161B"/>
          <w:sz w:val="22"/>
          <w:szCs w:val="22"/>
        </w:rPr>
        <w:t xml:space="preserve">7. PRACTICAL SET-UP</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Assessment at Section 1 completed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Applicable regime confirmed — federal, DIFC or ADGM</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Conflict check completed against Section 3</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Appointment made in writing with defined duties and time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Reporting line to the Board established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Contact details published and monitored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Notified to the regulator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 of processing activities established or reviewed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response plan adopted and the DPO named in it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subject request process established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Training delivered to staff</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report to the Board diarised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Deputy or cover arrangement identified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spacing w:after="160"/>
      </w:pPr>
    </w:p>
    <w:p>
      <w:pPr>
        <w:spacing w:after="150" w:before="0" w:line="276"/>
        <w:jc w:val="both"/>
      </w:pPr>
      <w:r>
        <w:rPr>
          <w:rFonts w:ascii="Calibri" w:cs="Calibri" w:eastAsia="Calibri" w:hAnsi="Calibri"/>
          <w:b/>
          <w:bCs/>
          <w:sz w:val="21"/>
          <w:szCs w:val="21"/>
        </w:rPr>
        <w:t xml:space="preserve">Appointment.</w:t>
      </w:r>
      <w:r>
        <w:rPr>
          <w:rFonts w:ascii="Calibri" w:cs="Calibri" w:eastAsia="Calibri" w:hAnsi="Calibri"/>
          <w:sz w:val="21"/>
          <w:szCs w:val="21"/>
        </w:rPr>
        <w:t xml:space="preserve"> The Board of </w:t>
      </w:r>
      <w:r>
        <w:rPr>
          <w:rFonts w:ascii="Calibri" w:cs="Calibri" w:eastAsia="Calibri" w:hAnsi="Calibri"/>
          <w:b/>
          <w:bCs/>
          <w:sz w:val="21"/>
          <w:szCs w:val="21"/>
        </w:rPr>
        <w:t xml:space="preserve">[COMPANY NAME]</w:t>
      </w:r>
      <w:r>
        <w:rPr>
          <w:rFonts w:ascii="Calibri" w:cs="Calibri" w:eastAsia="Calibri" w:hAnsi="Calibri"/>
          <w:sz w:val="21"/>
          <w:szCs w:val="21"/>
        </w:rPr>
        <w:t xml:space="preserve"> appoints </w:t>
      </w:r>
      <w:r>
        <w:rPr>
          <w:rFonts w:ascii="Calibri" w:cs="Calibri" w:eastAsia="Calibri" w:hAnsi="Calibri"/>
          <w:b/>
          <w:bCs/>
          <w:sz w:val="21"/>
          <w:szCs w:val="21"/>
        </w:rPr>
        <w:t xml:space="preserve">[NAME]</w:t>
      </w:r>
      <w:r>
        <w:rPr>
          <w:rFonts w:ascii="Calibri" w:cs="Calibri" w:eastAsia="Calibri" w:hAnsi="Calibri"/>
          <w:sz w:val="21"/>
          <w:szCs w:val="21"/>
        </w:rPr>
        <w:t xml:space="preserve"> as Data Protection Officer 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on the terms set out above, with direct access to the Board and the resources and independence the role requires.</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the Board of </w:t>
            </w:r>
            <w:r>
              <w:rPr>
                <w:rFonts w:ascii="Calibri" w:cs="Calibri" w:eastAsia="Calibri" w:hAnsi="Calibri"/>
                <w:b/>
                <w:bCs/>
                <w:sz w:val="21"/>
                <w:szCs w:val="21"/>
              </w:rPr>
              <w:t xml:space="preserve">[COMPANY NAME]</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[DPO NAME]</w:t>
            </w:r>
          </w:p>
          <w:p>
            <w:pPr>
              <w:spacing w:after="90" w:line="264"/>
            </w:pPr>
            <w:r>
              <w:rPr>
                <w:rFonts w:ascii="Calibri" w:cs="Calibri" w:eastAsia="Calibri" w:hAnsi="Calibri"/>
                <w:sz w:val="21"/>
                <w:szCs w:val="21"/>
              </w:rPr>
              <w:t xml:space="preserve">Accepting the appointment</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trigger is risk, not headcount</w:t>
      </w:r>
    </w:p>
    <w:p>
      <w:pPr>
        <w:spacing w:after="60" w:line="264"/>
        <w:jc w:val="both"/>
      </w:pPr>
      <w:r>
        <w:rPr>
          <w:rFonts w:ascii="Calibri" w:cs="Calibri" w:eastAsia="Calibri" w:hAnsi="Calibri"/>
          <w:sz w:val="19"/>
          <w:szCs w:val="19"/>
        </w:rPr>
        <w:t xml:space="preserve">Whether an appointment is required turns on the nature and risk of the processing — large-scale sensitive data, systematic monitoring, automated evaluation with significant effects — not on how many employees the organisation has. Small organisations processing sensitive data at scale are in scope; large ones processing little may not be.</w:t>
      </w:r>
    </w:p>
    <w:p>
      <w:pPr>
        <w:keepNext/>
        <w:spacing w:after="40" w:before="140"/>
      </w:pPr>
      <w:r>
        <w:rPr>
          <w:rFonts w:ascii="Calibri" w:cs="Calibri" w:eastAsia="Calibri" w:hAnsi="Calibri"/>
          <w:b/>
          <w:bCs/>
          <w:color w:val="14161B"/>
          <w:sz w:val="20"/>
          <w:szCs w:val="20"/>
        </w:rPr>
        <w:t xml:space="preserve">Where in doubt, appoint</w:t>
      </w:r>
    </w:p>
    <w:p>
      <w:pPr>
        <w:spacing w:after="60" w:line="264"/>
        <w:jc w:val="both"/>
      </w:pPr>
      <w:r>
        <w:rPr>
          <w:rFonts w:ascii="Calibri" w:cs="Calibri" w:eastAsia="Calibri" w:hAnsi="Calibri"/>
          <w:sz w:val="19"/>
          <w:szCs w:val="19"/>
        </w:rPr>
        <w:t xml:space="preserve">The cost is modest, particularly for an external appointment, and the position is defensible. An organisation that assessed the question and appointed looks entirely different to a regulator from one that never considered it.</w:t>
      </w:r>
    </w:p>
    <w:p>
      <w:pPr>
        <w:keepNext/>
        <w:spacing w:after="40" w:before="140"/>
      </w:pPr>
      <w:r>
        <w:rPr>
          <w:rFonts w:ascii="Calibri" w:cs="Calibri" w:eastAsia="Calibri" w:hAnsi="Calibri"/>
          <w:b/>
          <w:bCs/>
          <w:color w:val="14161B"/>
          <w:sz w:val="20"/>
          <w:szCs w:val="20"/>
        </w:rPr>
        <w:t xml:space="preserve">Record the decision either way</w:t>
      </w:r>
    </w:p>
    <w:p>
      <w:pPr>
        <w:spacing w:after="60" w:line="264"/>
        <w:jc w:val="both"/>
      </w:pPr>
      <w:r>
        <w:rPr>
          <w:rFonts w:ascii="Calibri" w:cs="Calibri" w:eastAsia="Calibri" w:hAnsi="Calibri"/>
          <w:sz w:val="19"/>
          <w:szCs w:val="19"/>
        </w:rPr>
        <w:t xml:space="preserve">A documented assessment concluding that no appointment is required, with reasoning, is a legitimate position. An absent record is indistinguishable from never having asked, and that is the finding that follows an incident.</w:t>
      </w:r>
    </w:p>
    <w:p>
      <w:pPr>
        <w:keepNext/>
        <w:spacing w:after="40" w:before="140"/>
      </w:pPr>
      <w:r>
        <w:rPr>
          <w:rFonts w:ascii="Calibri" w:cs="Calibri" w:eastAsia="Calibri" w:hAnsi="Calibri"/>
          <w:b/>
          <w:bCs/>
          <w:color w:val="14161B"/>
          <w:sz w:val="20"/>
          <w:szCs w:val="20"/>
        </w:rPr>
        <w:t xml:space="preserve">Health data is the trigger organisations miss</w:t>
      </w:r>
    </w:p>
    <w:p>
      <w:pPr>
        <w:spacing w:after="60" w:line="264"/>
        <w:jc w:val="both"/>
      </w:pPr>
      <w:r>
        <w:rPr>
          <w:rFonts w:ascii="Calibri" w:cs="Calibri" w:eastAsia="Calibri" w:hAnsi="Calibri"/>
          <w:sz w:val="19"/>
          <w:szCs w:val="19"/>
        </w:rPr>
        <w:t xml:space="preserve">Every UAE employer processes medical fitness test results and health insurance data for its staff. That is sensitive category data. Organisations conclude they hold nothing sensitive because they are thinking about customers rather than employees.</w:t>
      </w:r>
    </w:p>
    <w:p>
      <w:pPr>
        <w:keepNext/>
        <w:spacing w:after="40" w:before="140"/>
      </w:pPr>
      <w:r>
        <w:rPr>
          <w:rFonts w:ascii="Calibri" w:cs="Calibri" w:eastAsia="Calibri" w:hAnsi="Calibri"/>
          <w:b/>
          <w:bCs/>
          <w:color w:val="14161B"/>
          <w:sz w:val="20"/>
          <w:szCs w:val="20"/>
        </w:rPr>
        <w:t xml:space="preserve">The IT manager is usually the wrong choice</w:t>
      </w:r>
    </w:p>
    <w:p>
      <w:pPr>
        <w:spacing w:after="60" w:line="264"/>
        <w:jc w:val="both"/>
      </w:pPr>
      <w:r>
        <w:rPr>
          <w:rFonts w:ascii="Calibri" w:cs="Calibri" w:eastAsia="Calibri" w:hAnsi="Calibri"/>
          <w:sz w:val="19"/>
          <w:szCs w:val="19"/>
        </w:rPr>
        <w:t xml:space="preserve">They build and operate the systems, so asking them to independently assess whether those systems comply is asking them to audit their own work. The same problem affects HR for employee data and marketing for customer data. This rules out most of the obvious internal candidates.</w:t>
      </w:r>
    </w:p>
    <w:p>
      <w:pPr>
        <w:keepNext/>
        <w:spacing w:after="40" w:before="140"/>
      </w:pPr>
      <w:r>
        <w:rPr>
          <w:rFonts w:ascii="Calibri" w:cs="Calibri" w:eastAsia="Calibri" w:hAnsi="Calibri"/>
          <w:b/>
          <w:bCs/>
          <w:color w:val="14161B"/>
          <w:sz w:val="20"/>
          <w:szCs w:val="20"/>
        </w:rPr>
        <w:t xml:space="preserve">An external DPO removes the conflict cleanly</w:t>
      </w:r>
    </w:p>
    <w:p>
      <w:pPr>
        <w:spacing w:after="60" w:line="264"/>
        <w:jc w:val="both"/>
      </w:pPr>
      <w:r>
        <w:rPr>
          <w:rFonts w:ascii="Calibri" w:cs="Calibri" w:eastAsia="Calibri" w:hAnsi="Calibri"/>
          <w:sz w:val="19"/>
          <w:szCs w:val="19"/>
        </w:rPr>
        <w:t xml:space="preserve">For a smaller organisation, an external appointment is frequently cheaper than the internal time it would consume and avoids the independence problem entirely. It also brings expertise the organisation would otherwise have to build.</w:t>
      </w:r>
    </w:p>
    <w:p>
      <w:pPr>
        <w:keepNext/>
        <w:spacing w:after="40" w:before="140"/>
      </w:pPr>
      <w:r>
        <w:rPr>
          <w:rFonts w:ascii="Calibri" w:cs="Calibri" w:eastAsia="Calibri" w:hAnsi="Calibri"/>
          <w:b/>
          <w:bCs/>
          <w:color w:val="14161B"/>
          <w:sz w:val="20"/>
          <w:szCs w:val="20"/>
        </w:rPr>
        <w:t xml:space="preserve">Involve, do not inform</w:t>
      </w:r>
    </w:p>
    <w:p>
      <w:pPr>
        <w:spacing w:after="60" w:line="264"/>
        <w:jc w:val="both"/>
      </w:pPr>
      <w:r>
        <w:rPr>
          <w:rFonts w:ascii="Calibri" w:cs="Calibri" w:eastAsia="Calibri" w:hAnsi="Calibri"/>
          <w:sz w:val="19"/>
          <w:szCs w:val="19"/>
        </w:rPr>
        <w:t xml:space="preserve">A DPO told about a new system after it has launched has been informed. The obligation is to involve them properly and in good time — which means before the decision, when the impact assessment can still change the design. Retrospective assessments are visible for what they are.</w:t>
      </w:r>
    </w:p>
    <w:p>
      <w:pPr>
        <w:keepNext/>
        <w:spacing w:after="40" w:before="140"/>
      </w:pPr>
      <w:r>
        <w:rPr>
          <w:rFonts w:ascii="Calibri" w:cs="Calibri" w:eastAsia="Calibri" w:hAnsi="Calibri"/>
          <w:b/>
          <w:bCs/>
          <w:color w:val="14161B"/>
          <w:sz w:val="20"/>
          <w:szCs w:val="20"/>
        </w:rPr>
        <w:t xml:space="preserve">Independence has to be real</w:t>
      </w:r>
    </w:p>
    <w:p>
      <w:pPr>
        <w:spacing w:after="60" w:line="264"/>
        <w:jc w:val="both"/>
      </w:pPr>
      <w:r>
        <w:rPr>
          <w:rFonts w:ascii="Calibri" w:cs="Calibri" w:eastAsia="Calibri" w:hAnsi="Calibri"/>
          <w:sz w:val="19"/>
          <w:szCs w:val="19"/>
        </w:rPr>
        <w:t xml:space="preserve">The organisation may not instruct the DPO on how to perform the tasks, nor dismiss or penalise them for doing so. A DPO who reports to the person whose processing they are assessing, on terms that person controls, is not independent whatever the appointment letter says.</w:t>
      </w:r>
    </w:p>
    <w:p>
      <w:pPr>
        <w:keepNext/>
        <w:spacing w:after="40" w:before="140"/>
      </w:pPr>
      <w:r>
        <w:rPr>
          <w:rFonts w:ascii="Calibri" w:cs="Calibri" w:eastAsia="Calibri" w:hAnsi="Calibri"/>
          <w:b/>
          <w:bCs/>
          <w:color w:val="14161B"/>
          <w:sz w:val="20"/>
          <w:szCs w:val="20"/>
        </w:rPr>
        <w:t xml:space="preserve">Publish a monitored address</w:t>
      </w:r>
    </w:p>
    <w:p>
      <w:pPr>
        <w:spacing w:after="60" w:line="264"/>
        <w:jc w:val="both"/>
      </w:pPr>
      <w:r>
        <w:rPr>
          <w:rFonts w:ascii="Calibri" w:cs="Calibri" w:eastAsia="Calibri" w:hAnsi="Calibri"/>
          <w:sz w:val="19"/>
          <w:szCs w:val="19"/>
        </w:rPr>
        <w:t xml:space="preserve">The contact must be published and it must be read. An address nobody monitors is worse than none, because a missed data subject request or regulator contact evidences a failure to respond rather than an absence of process.</w:t>
      </w:r>
    </w:p>
    <w:p>
      <w:pPr>
        <w:keepNext/>
        <w:spacing w:after="40" w:before="140"/>
      </w:pPr>
      <w:r>
        <w:rPr>
          <w:rFonts w:ascii="Calibri" w:cs="Calibri" w:eastAsia="Calibri" w:hAnsi="Calibri"/>
          <w:b/>
          <w:bCs/>
          <w:color w:val="14161B"/>
          <w:sz w:val="20"/>
          <w:szCs w:val="20"/>
        </w:rPr>
        <w:t xml:space="preserve">Use a role-based address</w:t>
      </w:r>
    </w:p>
    <w:p>
      <w:pPr>
        <w:spacing w:after="60" w:line="264"/>
        <w:jc w:val="both"/>
      </w:pPr>
      <w:r>
        <w:rPr>
          <w:rFonts w:ascii="Calibri" w:cs="Calibri" w:eastAsia="Calibri" w:hAnsi="Calibri"/>
          <w:sz w:val="19"/>
          <w:szCs w:val="19"/>
        </w:rPr>
        <w:t xml:space="preserve">Publishing a role address rather than an individual’s personal details is better practice — it survives the individual leaving and avoids exposing their personal contact information in a public notice.</w:t>
      </w:r>
    </w:p>
    <w:p>
      <w:pPr>
        <w:keepNext/>
        <w:spacing w:after="40" w:before="140"/>
      </w:pPr>
      <w:r>
        <w:rPr>
          <w:rFonts w:ascii="Calibri" w:cs="Calibri" w:eastAsia="Calibri" w:hAnsi="Calibri"/>
          <w:b/>
          <w:bCs/>
          <w:color w:val="14161B"/>
          <w:sz w:val="20"/>
          <w:szCs w:val="20"/>
        </w:rPr>
        <w:t xml:space="preserve">Give the role actual time</w:t>
      </w:r>
    </w:p>
    <w:p>
      <w:pPr>
        <w:spacing w:after="60" w:line="264"/>
        <w:jc w:val="both"/>
      </w:pPr>
      <w:r>
        <w:rPr>
          <w:rFonts w:ascii="Calibri" w:cs="Calibri" w:eastAsia="Calibri" w:hAnsi="Calibri"/>
          <w:sz w:val="19"/>
          <w:szCs w:val="19"/>
        </w:rPr>
        <w:t xml:space="preserve">A DPO title added to an already full workload produces a nominal appointment. Allocate specific time, and be realistic about what the processing actually requires — the assessment at Section 1 also indicates the workload.</w:t>
      </w:r>
    </w:p>
    <w:p>
      <w:pPr>
        <w:keepNext/>
        <w:spacing w:after="40" w:before="140"/>
      </w:pPr>
      <w:r>
        <w:rPr>
          <w:rFonts w:ascii="Calibri" w:cs="Calibri" w:eastAsia="Calibri" w:hAnsi="Calibri"/>
          <w:b/>
          <w:bCs/>
          <w:color w:val="14161B"/>
          <w:sz w:val="20"/>
          <w:szCs w:val="20"/>
        </w:rPr>
        <w:t xml:space="preserve">Establish the record of processing first</w:t>
      </w:r>
    </w:p>
    <w:p>
      <w:pPr>
        <w:spacing w:after="60" w:line="264"/>
        <w:jc w:val="both"/>
      </w:pPr>
      <w:r>
        <w:rPr>
          <w:rFonts w:ascii="Calibri" w:cs="Calibri" w:eastAsia="Calibri" w:hAnsi="Calibri"/>
          <w:sz w:val="19"/>
          <w:szCs w:val="19"/>
        </w:rPr>
        <w:t xml:space="preserve">The record of processing activities underpins everything the DPO does — retention, breach assessment, subject requests, transfer analysis. An appointment made without it gives the DPO nothing to work from.</w:t>
      </w:r>
    </w:p>
    <w:p>
      <w:pPr>
        <w:keepNext/>
        <w:spacing w:after="40" w:before="140"/>
      </w:pPr>
      <w:r>
        <w:rPr>
          <w:rFonts w:ascii="Calibri" w:cs="Calibri" w:eastAsia="Calibri" w:hAnsi="Calibri"/>
          <w:b/>
          <w:bCs/>
          <w:color w:val="14161B"/>
          <w:sz w:val="20"/>
          <w:szCs w:val="20"/>
        </w:rPr>
        <w:t xml:space="preserve">Identify cover</w:t>
      </w:r>
    </w:p>
    <w:p>
      <w:pPr>
        <w:spacing w:after="60" w:line="264"/>
        <w:jc w:val="both"/>
      </w:pPr>
      <w:r>
        <w:rPr>
          <w:rFonts w:ascii="Calibri" w:cs="Calibri" w:eastAsia="Calibri" w:hAnsi="Calibri"/>
          <w:sz w:val="19"/>
          <w:szCs w:val="19"/>
        </w:rPr>
        <w:t xml:space="preserve">Data subject requests and breaches do not wait for the DPO to return from leave. A deputy or an agreed cover arrangement should exist before it is needed.</w:t>
      </w:r>
    </w:p>
    <w:p>
      <w:pPr>
        <w:keepNext/>
        <w:spacing w:after="40" w:before="140"/>
      </w:pPr>
      <w:r>
        <w:rPr>
          <w:rFonts w:ascii="Calibri" w:cs="Calibri" w:eastAsia="Calibri" w:hAnsi="Calibri"/>
          <w:b/>
          <w:bCs/>
          <w:color w:val="14161B"/>
          <w:sz w:val="20"/>
          <w:szCs w:val="20"/>
        </w:rPr>
        <w:t xml:space="preserve">Confirm the notification requirement for your regime</w:t>
      </w:r>
    </w:p>
    <w:p>
      <w:pPr>
        <w:spacing w:after="60" w:line="264"/>
        <w:jc w:val="both"/>
      </w:pPr>
      <w:r>
        <w:rPr>
          <w:rFonts w:ascii="Calibri" w:cs="Calibri" w:eastAsia="Calibri" w:hAnsi="Calibri"/>
          <w:sz w:val="19"/>
          <w:szCs w:val="19"/>
        </w:rPr>
        <w:t xml:space="preserve">Whether the appointment must be notified to the regulator, and in what form, differs between the federal, DIFC and ADGM regimes. DIFC also requires an annual notification separate from the appointment itself.</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DIFC and ADGM positions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t>
      </w:r>
      <w:r>
        <w:rPr>
          <w:rFonts w:ascii="Calibri" w:cs="Calibri" w:eastAsia="Calibri" w:hAnsi="Calibri"/>
          <w:b/>
          <w:bCs/>
          <w:sz w:val="19"/>
          <w:szCs w:val="19"/>
        </w:rPr>
        <w:t xml:space="preserve">The status of the federal PDPL Executive Regulations is reported inconsistently and bears on when appointment is mandatory</w:t>
      </w:r>
      <w:r>
        <w:rPr>
          <w:rFonts w:ascii="Calibri" w:cs="Calibri" w:eastAsia="Calibri" w:hAnsi="Calibri"/>
          <w:sz w:val="19"/>
          <w:szCs w:val="19"/>
        </w:rPr>
        <w:t xml:space="preserve"> — verify with the UAE Data Office. DIFC and ADGM requirements including notification obligations change; confirm with the relevant regulator or a UAE data protection adviser.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2026-08-23T16:28:35.583Z</dcterms:created>
  <dcterms:modified xsi:type="dcterms:W3CDTF">2026-08-23T16:28:35.583Z</dcterms:modified>
</cp:coreProperties>
</file>

<file path=docProps/custom.xml><?xml version="1.0" encoding="utf-8"?>
<Properties xmlns="http://schemas.openxmlformats.org/officeDocument/2006/custom-properties" xmlns:vt="http://schemas.openxmlformats.org/officeDocument/2006/docPropsVTypes"/>
</file>