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DATA PROCESSING ADDENDUM</w:t>
      </w:r>
    </w:p>
    <w:p>
      <w:pPr>
        <w:spacing w:after="260"/>
        <w:jc w:val="center"/>
      </w:pPr>
      <w:r>
        <w:rPr>
          <w:rFonts w:ascii="Calibri" w:cs="Calibri" w:eastAsia="Calibri" w:hAnsi="Calibri"/>
          <w:i/>
          <w:iCs/>
          <w:color w:val="6E7480"/>
          <w:sz w:val="19"/>
          <w:szCs w:val="19"/>
        </w:rPr>
        <w:t xml:space="preserve">Controller to processor — UAE, DIFC and ADGM</w:t>
      </w:r>
    </w:p>
    <w:p>
      <w:pPr>
        <w:spacing w:after="180" w:before="0" w:line="276"/>
        <w:jc w:val="both"/>
      </w:pPr>
      <w:r>
        <w:rPr>
          <w:rFonts w:ascii="Calibri" w:cs="Calibri" w:eastAsia="Calibri" w:hAnsi="Calibri"/>
          <w:i/>
          <w:iCs/>
          <w:color w:val="6E7480"/>
          <w:sz w:val="21"/>
          <w:szCs w:val="21"/>
        </w:rPr>
        <w:t xml:space="preserve">Before drafting, establish </w:t>
      </w:r>
      <w:r>
        <w:rPr>
          <w:rFonts w:ascii="Calibri" w:cs="Calibri" w:eastAsia="Calibri" w:hAnsi="Calibri"/>
          <w:b/>
          <w:bCs/>
          <w:i/>
          <w:iCs/>
          <w:color w:val="6E7480"/>
          <w:sz w:val="21"/>
          <w:szCs w:val="21"/>
        </w:rPr>
        <w:t xml:space="preserve">which regime governs</w:t>
      </w:r>
      <w:r>
        <w:rPr>
          <w:rFonts w:ascii="Calibri" w:cs="Calibri" w:eastAsia="Calibri" w:hAnsi="Calibri"/>
          <w:i/>
          <w:iCs/>
          <w:color w:val="6E7480"/>
          <w:sz w:val="21"/>
          <w:szCs w:val="21"/>
        </w:rPr>
        <w:t xml:space="preserve"> — it follows the controller’s establishment, not the processor’s. A DIFC controller sending data to a mainland processor is making a </w:t>
      </w:r>
      <w:r>
        <w:rPr>
          <w:rFonts w:ascii="Calibri" w:cs="Calibri" w:eastAsia="Calibri" w:hAnsi="Calibri"/>
          <w:b/>
          <w:bCs/>
          <w:i/>
          <w:iCs/>
          <w:color w:val="6E7480"/>
          <w:sz w:val="21"/>
          <w:szCs w:val="21"/>
        </w:rPr>
        <w:t xml:space="preserve">restricted transfer</w:t>
      </w:r>
      <w:r>
        <w:rPr>
          <w:rFonts w:ascii="Calibri" w:cs="Calibri" w:eastAsia="Calibri" w:hAnsi="Calibri"/>
          <w:i/>
          <w:iCs/>
          <w:color w:val="6E7480"/>
          <w:sz w:val="21"/>
          <w:szCs w:val="21"/>
        </w:rPr>
        <w:t xml:space="preserve">, because the mainland is not on the DIFC adequacy list. That single fact changes what this addendum has to contain.</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6362"/>
      </w:tblGrid>
      <w:tr>
        <w:trPr>
          <w:cantSplit/>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3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Controller</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[licence]</w:t>
            </w:r>
            <w:r>
              <w:rPr>
                <w:rFonts w:ascii="Calibri" w:cs="Calibri" w:eastAsia="Calibri" w:hAnsi="Calibri"/>
                <w:sz w:val="19"/>
                <w:szCs w:val="19"/>
              </w:rPr>
              <w:t xml:space="preserve"> </w:t>
            </w:r>
            <w:r>
              <w:rPr>
                <w:rFonts w:ascii="Calibri" w:cs="Calibri" w:eastAsia="Calibri" w:hAnsi="Calibri"/>
                <w:b/>
                <w:bCs/>
                <w:sz w:val="19"/>
                <w:szCs w:val="19"/>
              </w:rPr>
              <w:t xml:space="preserve">[NUMBER]</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Controller’s jurisdiction</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[Mainland / Free zone / DIFC / ADGM]</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Processor</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[licence]</w:t>
            </w:r>
            <w:r>
              <w:rPr>
                <w:rFonts w:ascii="Calibri" w:cs="Calibri" w:eastAsia="Calibri" w:hAnsi="Calibri"/>
                <w:sz w:val="19"/>
                <w:szCs w:val="19"/>
              </w:rPr>
              <w:t xml:space="preserve"> </w:t>
            </w:r>
            <w:r>
              <w:rPr>
                <w:rFonts w:ascii="Calibri" w:cs="Calibri" w:eastAsia="Calibri" w:hAnsi="Calibri"/>
                <w:b/>
                <w:bCs/>
                <w:sz w:val="19"/>
                <w:szCs w:val="19"/>
              </w:rPr>
              <w:t xml:space="preserve">[NUMBER]</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Processor’s jurisdiction</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Governing regime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[Federal PDPL / DIFC DP Law 5/2020 / ADGM DP Regulations 2021]</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Is this a restricted transfer?</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r>
              <w:rPr>
                <w:rFonts w:ascii="Calibri" w:cs="Calibri" w:eastAsia="Calibri" w:hAnsi="Calibri"/>
                <w:sz w:val="19"/>
                <w:szCs w:val="19"/>
              </w:rPr>
              <w:t xml:space="preserve"> — see Section 2</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Main agreement</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[TITLE]</w:t>
            </w:r>
            <w:r>
              <w:rPr>
                <w:rFonts w:ascii="Calibri" w:cs="Calibri" w:eastAsia="Calibri" w:hAnsi="Calibri"/>
                <w:sz w:val="19"/>
                <w:szCs w:val="19"/>
              </w:rPr>
              <w:t xml:space="preserve"> dated </w:t>
            </w:r>
            <w:r>
              <w:rPr>
                <w:rFonts w:ascii="Calibri" w:cs="Calibri" w:eastAsia="Calibri" w:hAnsi="Calibri"/>
                <w:b/>
                <w:bCs/>
                <w:sz w:val="19"/>
                <w:szCs w:val="19"/>
              </w:rPr>
              <w:t xml:space="preserve">[DATE]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Categories of data</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[LIST]</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Special or sensitive categories?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 — identify]</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Data subjects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[Employees / customers / applicants / other]</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Duration</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For the term of the main agreement</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Sub-processors approved</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[LIST / None]</w:t>
            </w:r>
          </w:p>
        </w:tc>
      </w:tr>
    </w:tbl>
    <w:p>
      <w:pPr>
        <w:spacing w:after="180"/>
      </w:pPr>
    </w:p>
    <w:p>
      <w:pPr>
        <w:keepNext/>
        <w:spacing w:after="120" w:before="280"/>
        <w:outlineLvl w:val="0"/>
      </w:pPr>
      <w:r>
        <w:rPr>
          <w:rFonts w:ascii="Calibri" w:cs="Calibri" w:eastAsia="Calibri" w:hAnsi="Calibri"/>
          <w:b/>
          <w:bCs/>
          <w:color w:val="14161B"/>
          <w:sz w:val="22"/>
          <w:szCs w:val="22"/>
        </w:rPr>
        <w:t xml:space="preserve">1. WHICH REGIME APPLIES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084"/>
        <w:gridCol w:w="3855"/>
        <w:gridCol w:w="2699"/>
      </w:tblGrid>
      <w:tr>
        <w:trPr>
          <w:cantSplit/>
          <w:tblHeader/>
        </w:trPr>
        <w:tc>
          <w:tcPr>
            <w:tcW w:type="dxa" w:w="308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Controller established in</w:t>
            </w:r>
          </w:p>
        </w:tc>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Governing law</w:t>
            </w:r>
          </w:p>
        </w:tc>
        <w:tc>
          <w:tcPr>
            <w:tcW w:type="dxa" w:w="269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Regulator</w:t>
            </w:r>
          </w:p>
        </w:tc>
      </w:tr>
      <w:tr>
        <w:trPr>
          <w:cantSplit/>
        </w:trP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UAE mainland</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Federal Decree-Law 45/2021 (PDPL)</w:t>
            </w:r>
          </w:p>
        </w:tc>
        <w:tc>
          <w:tcPr>
            <w:tcW w:type="dxa" w:w="269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UAE Data Office</w:t>
            </w:r>
          </w:p>
        </w:tc>
      </w:tr>
      <w:tr>
        <w:trPr>
          <w:cantSplit/>
        </w:trP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Free zone without its own data law</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Federal PDPL</w:t>
            </w:r>
          </w:p>
        </w:tc>
        <w:tc>
          <w:tcPr>
            <w:tcW w:type="dxa" w:w="269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UAE Data Office</w:t>
            </w:r>
          </w:p>
        </w:tc>
      </w:tr>
      <w:tr>
        <w:trPr>
          <w:cantSplit/>
        </w:trP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DIFC</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DIFC Data Protection Law 5/2020</w:t>
            </w:r>
            <w:r>
              <w:rPr>
                <w:rFonts w:ascii="Calibri" w:cs="Calibri" w:eastAsia="Calibri" w:hAnsi="Calibri"/>
                <w:sz w:val="18"/>
                <w:szCs w:val="18"/>
              </w:rPr>
              <w:t xml:space="preserve">, as amended</w:t>
            </w:r>
          </w:p>
        </w:tc>
        <w:tc>
          <w:tcPr>
            <w:tcW w:type="dxa" w:w="269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DIFC Commissioner</w:t>
            </w:r>
          </w:p>
        </w:tc>
      </w:tr>
      <w:tr>
        <w:trPr>
          <w:cantSplit/>
        </w:trP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ADGM</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ADGM Data Protection Regulations 2021</w:t>
            </w:r>
          </w:p>
        </w:tc>
        <w:tc>
          <w:tcPr>
            <w:tcW w:type="dxa" w:w="269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ADGM Office of Data Protection</w:t>
            </w:r>
          </w:p>
        </w:tc>
      </w:tr>
    </w:tbl>
    <w:p>
      <w:pPr>
        <w:spacing w:after="140"/>
      </w:pP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i/>
          <w:iCs/>
          <w:sz w:val="21"/>
          <w:szCs w:val="21"/>
        </w:rPr>
        <w:t xml:space="preserve">Note the status point carried through this library: aspects of the federal regime depend on the PDPL Executive Regulations, whose publication status is reported inconsistently. Where the federal analysis is uncertain, apply contractual safeguards and document the approach rather than relying on an unconfirmed position.</w:t>
      </w:r>
    </w:p>
    <w:p>
      <w:pPr>
        <w:keepNext/>
        <w:spacing w:after="120" w:before="280"/>
        <w:outlineLvl w:val="0"/>
      </w:pPr>
      <w:r>
        <w:rPr>
          <w:rFonts w:ascii="Calibri" w:cs="Calibri" w:eastAsia="Calibri" w:hAnsi="Calibri"/>
          <w:b/>
          <w:bCs/>
          <w:color w:val="14161B"/>
          <w:sz w:val="22"/>
          <w:szCs w:val="22"/>
        </w:rPr>
        <w:t xml:space="preserve">2. TRANSFER POSITION</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Where the Controller is established in </w:t>
      </w:r>
      <w:r>
        <w:rPr>
          <w:rFonts w:ascii="Calibri" w:cs="Calibri" w:eastAsia="Calibri" w:hAnsi="Calibri"/>
          <w:b/>
          <w:bCs/>
          <w:sz w:val="21"/>
          <w:szCs w:val="21"/>
        </w:rPr>
        <w:t xml:space="preserve">DIFC or ADGM</w:t>
      </w:r>
      <w:r>
        <w:rPr>
          <w:rFonts w:ascii="Calibri" w:cs="Calibri" w:eastAsia="Calibri" w:hAnsi="Calibri"/>
          <w:sz w:val="21"/>
          <w:szCs w:val="21"/>
        </w:rPr>
        <w:t xml:space="preserve"> and the Processor is elsewhere, the disclosure is a </w:t>
      </w:r>
      <w:r>
        <w:rPr>
          <w:rFonts w:ascii="Calibri" w:cs="Calibri" w:eastAsia="Calibri" w:hAnsi="Calibri"/>
          <w:b/>
          <w:bCs/>
          <w:sz w:val="21"/>
          <w:szCs w:val="21"/>
        </w:rPr>
        <w:t xml:space="preserve">transfer out of that jurisdiction</w:t>
      </w:r>
      <w:r>
        <w:rPr>
          <w:rFonts w:ascii="Calibri" w:cs="Calibri" w:eastAsia="Calibri" w:hAnsi="Calibri"/>
          <w:sz w:val="21"/>
          <w:szCs w:val="21"/>
        </w:rPr>
        <w:t xml:space="preserve"> and requires a lawful basis.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1734"/>
        <w:gridCol w:w="2505"/>
        <w:gridCol w:w="5399"/>
      </w:tblGrid>
      <w:tr>
        <w:trPr>
          <w:cantSplit/>
          <w:tblHeader/>
        </w:trPr>
        <w:tc>
          <w:tcPr>
            <w:tcW w:type="dxa" w:w="173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From</w:t>
            </w:r>
          </w:p>
        </w:tc>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To</w:t>
            </w:r>
          </w:p>
        </w:tc>
        <w:tc>
          <w:tcPr>
            <w:tcW w:type="dxa" w:w="539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Position</w:t>
            </w:r>
          </w:p>
        </w:tc>
      </w:tr>
      <w:tr>
        <w:trPr>
          <w:cantSplit/>
        </w:trPr>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DIFC</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UAE mainland</w:t>
            </w:r>
          </w:p>
        </w:tc>
        <w:tc>
          <w:tcPr>
            <w:tcW w:type="dxa" w:w="539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RESTRICTED</w:t>
            </w:r>
            <w:r>
              <w:rPr>
                <w:rFonts w:ascii="Calibri" w:cs="Calibri" w:eastAsia="Calibri" w:hAnsi="Calibri"/>
                <w:sz w:val="18"/>
                <w:szCs w:val="18"/>
              </w:rPr>
              <w:t xml:space="preserve"> — mainland is not on the DIFC adequacy list; safeguards required</w:t>
            </w:r>
          </w:p>
        </w:tc>
      </w:tr>
      <w:tr>
        <w:trPr>
          <w:cantSplit/>
        </w:trPr>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DIFC</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Adequate jurisdiction on the DIFC list</w:t>
            </w:r>
          </w:p>
        </w:tc>
        <w:tc>
          <w:tcPr>
            <w:tcW w:type="dxa" w:w="539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Permitted — record the finding and the date checked</w:t>
            </w:r>
          </w:p>
        </w:tc>
      </w:tr>
      <w:tr>
        <w:trPr>
          <w:cantSplit/>
        </w:trPr>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DIFC</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Non-adequate jurisdiction</w:t>
            </w:r>
          </w:p>
        </w:tc>
        <w:tc>
          <w:tcPr>
            <w:tcW w:type="dxa" w:w="539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Safeguards or a derogation</w:t>
            </w:r>
          </w:p>
        </w:tc>
      </w:tr>
      <w:tr>
        <w:trPr>
          <w:cantSplit/>
        </w:trPr>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ADGM</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Anywhere outside ADGM</w:t>
            </w:r>
          </w:p>
        </w:tc>
        <w:tc>
          <w:tcPr>
            <w:tcW w:type="dxa" w:w="539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Check the ADGM adequacy list</w:t>
            </w:r>
            <w:r>
              <w:rPr>
                <w:rFonts w:ascii="Calibri" w:cs="Calibri" w:eastAsia="Calibri" w:hAnsi="Calibri"/>
                <w:sz w:val="18"/>
                <w:szCs w:val="18"/>
              </w:rPr>
              <w:t xml:space="preserve"> — it is its own list</w:t>
            </w:r>
          </w:p>
        </w:tc>
      </w:tr>
      <w:tr>
        <w:trPr>
          <w:cantSplit/>
        </w:trPr>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Mainland or free zone</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Outside the UAE</w:t>
            </w:r>
          </w:p>
        </w:tc>
        <w:tc>
          <w:tcPr>
            <w:tcW w:type="dxa" w:w="539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Assess under the federal regime; document the basis</w:t>
            </w:r>
          </w:p>
        </w:tc>
      </w:tr>
      <w:tr>
        <w:trPr>
          <w:cantSplit/>
        </w:trPr>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Mainland</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DIFC or ADGM</w:t>
            </w:r>
          </w:p>
        </w:tc>
        <w:tc>
          <w:tcPr>
            <w:tcW w:type="dxa" w:w="539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 separate jurisdiction — assess</w:t>
            </w:r>
          </w:p>
        </w:tc>
      </w:tr>
    </w:tbl>
    <w:p>
      <w:pPr>
        <w:spacing w:after="140"/>
      </w:pP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Where safeguards are required, the parties shall execute the applicable </w:t>
      </w:r>
      <w:r>
        <w:rPr>
          <w:rFonts w:ascii="Calibri" w:cs="Calibri" w:eastAsia="Calibri" w:hAnsi="Calibri"/>
          <w:b/>
          <w:bCs/>
          <w:sz w:val="21"/>
          <w:szCs w:val="21"/>
        </w:rPr>
        <w:t xml:space="preserve">standard contractual clauses</w:t>
      </w:r>
      <w:r>
        <w:rPr>
          <w:rFonts w:ascii="Calibri" w:cs="Calibri" w:eastAsia="Calibri" w:hAnsi="Calibri"/>
          <w:sz w:val="21"/>
          <w:szCs w:val="21"/>
        </w:rPr>
        <w:t xml:space="preserve"> or another approved mechanism, and the Processor shall assist with any transfer impact assessment.</w:t>
      </w:r>
    </w:p>
    <w:p>
      <w:pPr>
        <w:keepNext/>
        <w:spacing w:after="120" w:before="280"/>
        <w:outlineLvl w:val="0"/>
      </w:pPr>
      <w:r>
        <w:rPr>
          <w:rFonts w:ascii="Calibri" w:cs="Calibri" w:eastAsia="Calibri" w:hAnsi="Calibri"/>
          <w:b/>
          <w:bCs/>
          <w:color w:val="14161B"/>
          <w:sz w:val="22"/>
          <w:szCs w:val="22"/>
        </w:rPr>
        <w:t xml:space="preserve">3. PROCESSOR OBLIGATIONS</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The Processor shall:</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process personal data </w:t>
      </w:r>
      <w:r>
        <w:rPr>
          <w:rFonts w:ascii="Calibri" w:cs="Calibri" w:eastAsia="Calibri" w:hAnsi="Calibri"/>
          <w:b/>
          <w:bCs/>
          <w:sz w:val="21"/>
          <w:szCs w:val="21"/>
        </w:rPr>
        <w:t xml:space="preserve">only on the Controller’s documented instructions</w:t>
      </w:r>
      <w:r>
        <w:rPr>
          <w:rFonts w:ascii="Calibri" w:cs="Calibri" w:eastAsia="Calibri" w:hAnsi="Calibri"/>
          <w:sz w:val="21"/>
          <w:szCs w:val="21"/>
        </w:rPr>
        <w:t xml:space="preserve">, including as to transfers, unless required otherwise by law — in which case it shall inform the Controller first where lawful;</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ensure persons authorised to process are bound by confidentiality;</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implement </w:t>
      </w:r>
      <w:r>
        <w:rPr>
          <w:rFonts w:ascii="Calibri" w:cs="Calibri" w:eastAsia="Calibri" w:hAnsi="Calibri"/>
          <w:b/>
          <w:bCs/>
          <w:sz w:val="21"/>
          <w:szCs w:val="21"/>
        </w:rPr>
        <w:t xml:space="preserve">appropriate technical and organisational measures</w:t>
      </w:r>
      <w:r>
        <w:rPr>
          <w:rFonts w:ascii="Calibri" w:cs="Calibri" w:eastAsia="Calibri" w:hAnsi="Calibri"/>
          <w:sz w:val="21"/>
          <w:szCs w:val="21"/>
        </w:rPr>
        <w:t xml:space="preserve"> appropriate to the risk, as described in Schedule 2;</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not engage a </w:t>
      </w:r>
      <w:r>
        <w:rPr>
          <w:rFonts w:ascii="Calibri" w:cs="Calibri" w:eastAsia="Calibri" w:hAnsi="Calibri"/>
          <w:b/>
          <w:bCs/>
          <w:sz w:val="21"/>
          <w:szCs w:val="21"/>
        </w:rPr>
        <w:t xml:space="preserve">sub-processor</w:t>
      </w:r>
      <w:r>
        <w:rPr>
          <w:rFonts w:ascii="Calibri" w:cs="Calibri" w:eastAsia="Calibri" w:hAnsi="Calibri"/>
          <w:sz w:val="21"/>
          <w:szCs w:val="21"/>
        </w:rPr>
        <w:t xml:space="preserve"> without the Controller’s prior written authorisation, and impose equivalent obligations on any it engages, remaining liable for their performance;</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assist the Controller in responding to </w:t>
      </w:r>
      <w:r>
        <w:rPr>
          <w:rFonts w:ascii="Calibri" w:cs="Calibri" w:eastAsia="Calibri" w:hAnsi="Calibri"/>
          <w:b/>
          <w:bCs/>
          <w:sz w:val="21"/>
          <w:szCs w:val="21"/>
        </w:rPr>
        <w:t xml:space="preserve">data subject requests</w:t>
      </w:r>
      <w:r>
        <w:rPr>
          <w:rFonts w:ascii="Calibri" w:cs="Calibri" w:eastAsia="Calibri" w:hAnsi="Calibri"/>
          <w:sz w:val="21"/>
          <w:szCs w:val="21"/>
        </w:rPr>
        <w:t xml:space="preserve">, within </w:t>
      </w:r>
      <w:r>
        <w:rPr>
          <w:rFonts w:ascii="Calibri" w:cs="Calibri" w:eastAsia="Calibri" w:hAnsi="Calibri"/>
          <w:b/>
          <w:bCs/>
          <w:sz w:val="21"/>
          <w:szCs w:val="21"/>
        </w:rPr>
        <w:t xml:space="preserve">[5]</w:t>
      </w:r>
      <w:r>
        <w:rPr>
          <w:rFonts w:ascii="Calibri" w:cs="Calibri" w:eastAsia="Calibri" w:hAnsi="Calibri"/>
          <w:b/>
          <w:bCs/>
          <w:sz w:val="21"/>
          <w:szCs w:val="21"/>
        </w:rPr>
        <w:t xml:space="preserve"> business days</w:t>
      </w:r>
      <w:r>
        <w:rPr>
          <w:rFonts w:ascii="Calibri" w:cs="Calibri" w:eastAsia="Calibri" w:hAnsi="Calibri"/>
          <w:sz w:val="21"/>
          <w:szCs w:val="21"/>
        </w:rPr>
        <w:t xml:space="preserve"> of being notified;</w:t>
      </w:r>
    </w:p>
    <w:p>
      <w:pPr>
        <w:spacing w:after="100" w:before="40" w:line="276"/>
        <w:ind w:left="1440" w:hanging="720"/>
        <w:jc w:val="both"/>
      </w:pPr>
      <w:r>
        <w:rPr>
          <w:rFonts w:ascii="Calibri" w:cs="Calibri" w:eastAsia="Calibri" w:hAnsi="Calibri"/>
          <w:sz w:val="21"/>
          <w:szCs w:val="21"/>
        </w:rPr>
        <w:t xml:space="preserve">(f)	</w:t>
      </w:r>
      <w:r>
        <w:rPr>
          <w:rFonts w:ascii="Calibri" w:cs="Calibri" w:eastAsia="Calibri" w:hAnsi="Calibri"/>
          <w:sz w:val="21"/>
          <w:szCs w:val="21"/>
        </w:rPr>
        <w:t xml:space="preserve">assist with security, breach notification, impact assessments and regulator engagement;</w:t>
      </w:r>
    </w:p>
    <w:p>
      <w:pPr>
        <w:spacing w:after="100" w:before="40" w:line="276"/>
        <w:ind w:left="1440" w:hanging="720"/>
        <w:jc w:val="both"/>
      </w:pPr>
      <w:r>
        <w:rPr>
          <w:rFonts w:ascii="Calibri" w:cs="Calibri" w:eastAsia="Calibri" w:hAnsi="Calibri"/>
          <w:sz w:val="21"/>
          <w:szCs w:val="21"/>
        </w:rPr>
        <w:t xml:space="preserve">(g)	</w:t>
      </w:r>
      <w:r>
        <w:rPr>
          <w:rFonts w:ascii="Calibri" w:cs="Calibri" w:eastAsia="Calibri" w:hAnsi="Calibri"/>
          <w:b/>
          <w:bCs/>
          <w:sz w:val="21"/>
          <w:szCs w:val="21"/>
        </w:rPr>
        <w:t xml:space="preserve">notify the Controller without undue delay and in any event within </w:t>
      </w:r>
      <w:r>
        <w:rPr>
          <w:rFonts w:ascii="Calibri" w:cs="Calibri" w:eastAsia="Calibri" w:hAnsi="Calibri"/>
          <w:b/>
          <w:bCs/>
          <w:sz w:val="21"/>
          <w:szCs w:val="21"/>
        </w:rPr>
        <w:t xml:space="preserve">[24]</w:t>
      </w:r>
      <w:r>
        <w:rPr>
          <w:rFonts w:ascii="Calibri" w:cs="Calibri" w:eastAsia="Calibri" w:hAnsi="Calibri"/>
          <w:b/>
          <w:bCs/>
          <w:sz w:val="21"/>
          <w:szCs w:val="21"/>
        </w:rPr>
        <w:t xml:space="preserve"> hours</w:t>
      </w:r>
      <w:r>
        <w:rPr>
          <w:rFonts w:ascii="Calibri" w:cs="Calibri" w:eastAsia="Calibri" w:hAnsi="Calibri"/>
          <w:sz w:val="21"/>
          <w:szCs w:val="21"/>
        </w:rPr>
        <w:t xml:space="preserve"> of becoming aware of a personal data breach;</w:t>
      </w:r>
    </w:p>
    <w:p>
      <w:pPr>
        <w:spacing w:after="100" w:before="40" w:line="276"/>
        <w:ind w:left="1440" w:hanging="720"/>
        <w:jc w:val="both"/>
      </w:pPr>
      <w:r>
        <w:rPr>
          <w:rFonts w:ascii="Calibri" w:cs="Calibri" w:eastAsia="Calibri" w:hAnsi="Calibri"/>
          <w:sz w:val="21"/>
          <w:szCs w:val="21"/>
        </w:rPr>
        <w:t xml:space="preserve">(h)	</w:t>
      </w:r>
      <w:r>
        <w:rPr>
          <w:rFonts w:ascii="Calibri" w:cs="Calibri" w:eastAsia="Calibri" w:hAnsi="Calibri"/>
          <w:sz w:val="21"/>
          <w:szCs w:val="21"/>
        </w:rPr>
        <w:t xml:space="preserve">at the Controller’s election, </w:t>
      </w:r>
      <w:r>
        <w:rPr>
          <w:rFonts w:ascii="Calibri" w:cs="Calibri" w:eastAsia="Calibri" w:hAnsi="Calibri"/>
          <w:b/>
          <w:bCs/>
          <w:sz w:val="21"/>
          <w:szCs w:val="21"/>
        </w:rPr>
        <w:t xml:space="preserve">delete or return</w:t>
      </w:r>
      <w:r>
        <w:rPr>
          <w:rFonts w:ascii="Calibri" w:cs="Calibri" w:eastAsia="Calibri" w:hAnsi="Calibri"/>
          <w:sz w:val="21"/>
          <w:szCs w:val="21"/>
        </w:rPr>
        <w:t xml:space="preserve"> all personal data at the end of the services, and delete existing copies save where retention is required by law; and</w:t>
      </w:r>
    </w:p>
    <w:p>
      <w:pPr>
        <w:spacing w:after="100" w:before="40" w:line="276"/>
        <w:ind w:left="1440" w:hanging="720"/>
        <w:jc w:val="both"/>
      </w:pPr>
      <w:r>
        <w:rPr>
          <w:rFonts w:ascii="Calibri" w:cs="Calibri" w:eastAsia="Calibri" w:hAnsi="Calibri"/>
          <w:sz w:val="21"/>
          <w:szCs w:val="21"/>
        </w:rPr>
        <w:t xml:space="preserve">(i)	</w:t>
      </w:r>
      <w:r>
        <w:rPr>
          <w:rFonts w:ascii="Calibri" w:cs="Calibri" w:eastAsia="Calibri" w:hAnsi="Calibri"/>
          <w:sz w:val="21"/>
          <w:szCs w:val="21"/>
        </w:rPr>
        <w:t xml:space="preserve">make available the information necessary to demonstrate compliance and </w:t>
      </w:r>
      <w:r>
        <w:rPr>
          <w:rFonts w:ascii="Calibri" w:cs="Calibri" w:eastAsia="Calibri" w:hAnsi="Calibri"/>
          <w:b/>
          <w:bCs/>
          <w:sz w:val="21"/>
          <w:szCs w:val="21"/>
        </w:rPr>
        <w:t xml:space="preserve">allow audits</w:t>
      </w:r>
      <w:r>
        <w:rPr>
          <w:rFonts w:ascii="Calibri" w:cs="Calibri" w:eastAsia="Calibri" w:hAnsi="Calibri"/>
          <w:sz w:val="21"/>
          <w:szCs w:val="21"/>
        </w:rPr>
        <w:t xml:space="preserve"> by the Controller or its appointed auditor, on reasonable notice and no more than </w:t>
      </w:r>
      <w:r>
        <w:rPr>
          <w:rFonts w:ascii="Calibri" w:cs="Calibri" w:eastAsia="Calibri" w:hAnsi="Calibri"/>
          <w:b/>
          <w:bCs/>
          <w:sz w:val="21"/>
          <w:szCs w:val="21"/>
        </w:rPr>
        <w:t xml:space="preserve">[annually]</w:t>
      </w:r>
      <w:r>
        <w:rPr>
          <w:rFonts w:ascii="Calibri" w:cs="Calibri" w:eastAsia="Calibri" w:hAnsi="Calibri"/>
          <w:sz w:val="21"/>
          <w:szCs w:val="21"/>
        </w:rPr>
        <w:t xml:space="preserve"> save after a breach.</w:t>
      </w:r>
    </w:p>
    <w:p>
      <w:pPr>
        <w:keepNext/>
        <w:spacing w:after="120" w:before="280"/>
        <w:outlineLvl w:val="0"/>
      </w:pPr>
      <w:r>
        <w:rPr>
          <w:rFonts w:ascii="Calibri" w:cs="Calibri" w:eastAsia="Calibri" w:hAnsi="Calibri"/>
          <w:b/>
          <w:bCs/>
          <w:color w:val="14161B"/>
          <w:sz w:val="22"/>
          <w:szCs w:val="22"/>
        </w:rPr>
        <w:t xml:space="preserve">4. BREACH NOTIFICATION</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The Processor shall notify </w:t>
      </w:r>
      <w:r>
        <w:rPr>
          <w:rFonts w:ascii="Calibri" w:cs="Calibri" w:eastAsia="Calibri" w:hAnsi="Calibri"/>
          <w:b/>
          <w:bCs/>
          <w:sz w:val="21"/>
          <w:szCs w:val="21"/>
        </w:rPr>
        <w:t xml:space="preserve">[CONTACT]</w:t>
      </w:r>
      <w:r>
        <w:rPr>
          <w:rFonts w:ascii="Calibri" w:cs="Calibri" w:eastAsia="Calibri" w:hAnsi="Calibri"/>
          <w:sz w:val="21"/>
          <w:szCs w:val="21"/>
        </w:rPr>
        <w:t xml:space="preserve"> at </w:t>
      </w:r>
      <w:r>
        <w:rPr>
          <w:rFonts w:ascii="Calibri" w:cs="Calibri" w:eastAsia="Calibri" w:hAnsi="Calibri"/>
          <w:b/>
          <w:bCs/>
          <w:sz w:val="21"/>
          <w:szCs w:val="21"/>
        </w:rPr>
        <w:t xml:space="preserve">[EMAIL]</w:t>
      </w:r>
      <w:r>
        <w:rPr>
          <w:rFonts w:ascii="Calibri" w:cs="Calibri" w:eastAsia="Calibri" w:hAnsi="Calibri"/>
          <w:sz w:val="21"/>
          <w:szCs w:val="21"/>
        </w:rPr>
        <w:t xml:space="preserve"> within </w:t>
      </w:r>
      <w:r>
        <w:rPr>
          <w:rFonts w:ascii="Calibri" w:cs="Calibri" w:eastAsia="Calibri" w:hAnsi="Calibri"/>
          <w:b/>
          <w:bCs/>
          <w:sz w:val="21"/>
          <w:szCs w:val="21"/>
        </w:rPr>
        <w:t xml:space="preserve">[24]</w:t>
      </w:r>
      <w:r>
        <w:rPr>
          <w:rFonts w:ascii="Calibri" w:cs="Calibri" w:eastAsia="Calibri" w:hAnsi="Calibri"/>
          <w:b/>
          <w:bCs/>
          <w:sz w:val="21"/>
          <w:szCs w:val="21"/>
        </w:rPr>
        <w:t xml:space="preserve"> hours</w:t>
      </w:r>
      <w:r>
        <w:rPr>
          <w:rFonts w:ascii="Calibri" w:cs="Calibri" w:eastAsia="Calibri" w:hAnsi="Calibri"/>
          <w:sz w:val="21"/>
          <w:szCs w:val="21"/>
        </w:rPr>
        <w:t xml:space="preserve"> of becoming aware of a breach affecting the Controller’s data.</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The notification shall describe, so far as known: the nature of the breach, the categories and approximate number of data subjects and records, the likely consequences, and the measures taken or proposed.</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sz w:val="21"/>
          <w:szCs w:val="21"/>
        </w:rPr>
        <w:t xml:space="preserve">The Processor shall not delay notification in order to complete its investigation, and shall provide further information as it becomes available.</w:t>
      </w:r>
    </w:p>
    <w:p>
      <w:pPr>
        <w:spacing w:after="120" w:before="60" w:line="276"/>
        <w:ind w:left="720" w:hanging="720"/>
        <w:jc w:val="both"/>
      </w:pPr>
      <w:r>
        <w:rPr>
          <w:rFonts w:ascii="Calibri" w:cs="Calibri" w:eastAsia="Calibri" w:hAnsi="Calibri"/>
          <w:sz w:val="21"/>
          <w:szCs w:val="21"/>
        </w:rPr>
        <w:t xml:space="preserve">4.4	</w:t>
      </w:r>
      <w:r>
        <w:rPr>
          <w:rFonts w:ascii="Calibri" w:cs="Calibri" w:eastAsia="Calibri" w:hAnsi="Calibri"/>
          <w:b/>
          <w:bCs/>
          <w:sz w:val="21"/>
          <w:szCs w:val="21"/>
        </w:rPr>
        <w:t xml:space="preserve">The Processor shall not notify a regulator or any data subject on the Controller’s behalf without the Controller’s written instruction.</w:t>
      </w:r>
    </w:p>
    <w:p>
      <w:pPr>
        <w:spacing w:after="120" w:before="60" w:line="276"/>
        <w:ind w:left="720" w:hanging="720"/>
        <w:jc w:val="both"/>
      </w:pPr>
      <w:r>
        <w:rPr>
          <w:rFonts w:ascii="Calibri" w:cs="Calibri" w:eastAsia="Calibri" w:hAnsi="Calibri"/>
          <w:sz w:val="21"/>
          <w:szCs w:val="21"/>
        </w:rPr>
        <w:t xml:space="preserve">4.5	</w:t>
      </w:r>
      <w:r>
        <w:rPr>
          <w:rFonts w:ascii="Calibri" w:cs="Calibri" w:eastAsia="Calibri" w:hAnsi="Calibri"/>
          <w:i/>
          <w:iCs/>
          <w:sz w:val="21"/>
          <w:szCs w:val="21"/>
        </w:rPr>
        <w:t xml:space="preserve">Twenty-four hours is deliberate. The Controller carries the regulatory notification deadline, and a processor notifying "promptly" three days later has consumed most of the Controller’s window.</w:t>
      </w:r>
    </w:p>
    <w:p>
      <w:pPr>
        <w:keepNext/>
        <w:spacing w:after="120" w:before="280"/>
        <w:outlineLvl w:val="0"/>
      </w:pPr>
      <w:r>
        <w:rPr>
          <w:rFonts w:ascii="Calibri" w:cs="Calibri" w:eastAsia="Calibri" w:hAnsi="Calibri"/>
          <w:b/>
          <w:bCs/>
          <w:color w:val="14161B"/>
          <w:sz w:val="22"/>
          <w:szCs w:val="22"/>
        </w:rPr>
        <w:t xml:space="preserve">5. CONTROLLER OBLIGATIONS</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The Controller warrants that it has a lawful basis for the processing and for the disclosure to the Processor, and that any required notice or consent has been given or obtained.</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The Controller shall issue instructions that are lawful and shall not require processing that would breach applicable law.</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sz w:val="21"/>
          <w:szCs w:val="21"/>
        </w:rPr>
        <w:t xml:space="preserve">The Controller shall respond to data subject requests and shall handle regulator engagement, with the Processor’s assistance.</w:t>
      </w:r>
    </w:p>
    <w:p>
      <w:pPr>
        <w:keepNext/>
        <w:spacing w:after="120" w:before="280"/>
        <w:outlineLvl w:val="0"/>
      </w:pPr>
      <w:r>
        <w:rPr>
          <w:rFonts w:ascii="Calibri" w:cs="Calibri" w:eastAsia="Calibri" w:hAnsi="Calibri"/>
          <w:b/>
          <w:bCs/>
          <w:color w:val="14161B"/>
          <w:sz w:val="22"/>
          <w:szCs w:val="22"/>
        </w:rPr>
        <w:t xml:space="preserve">6. GENERAL</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This addendum forms part of the main agreement. </w:t>
      </w:r>
      <w:r>
        <w:rPr>
          <w:rFonts w:ascii="Calibri" w:cs="Calibri" w:eastAsia="Calibri" w:hAnsi="Calibri"/>
          <w:b/>
          <w:bCs/>
          <w:sz w:val="21"/>
          <w:szCs w:val="21"/>
        </w:rPr>
        <w:t xml:space="preserve">Where they conflict on data protection, this addendum prevails.</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sz w:val="21"/>
          <w:szCs w:val="21"/>
        </w:rPr>
        <w:t xml:space="preserve">Liability for breach of this addendum </w:t>
      </w:r>
      <w:r>
        <w:rPr>
          <w:rFonts w:ascii="Calibri" w:cs="Calibri" w:eastAsia="Calibri" w:hAnsi="Calibri"/>
          <w:b/>
          <w:bCs/>
          <w:sz w:val="21"/>
          <w:szCs w:val="21"/>
        </w:rPr>
        <w:t xml:space="preserve">[is subject to the cap in the main agreement / is carved out of that cap]</w:t>
      </w:r>
      <w:r>
        <w:rPr>
          <w:rFonts w:ascii="Calibri" w:cs="Calibri" w:eastAsia="Calibri" w:hAnsi="Calibri"/>
          <w:sz w:val="21"/>
          <w:szCs w:val="21"/>
        </w:rPr>
        <w:t xml:space="preserve">. </w:t>
      </w:r>
      <w:r>
        <w:rPr>
          <w:rFonts w:ascii="Calibri" w:cs="Calibri" w:eastAsia="Calibri" w:hAnsi="Calibri"/>
          <w:i/>
          <w:iCs/>
          <w:sz w:val="21"/>
          <w:szCs w:val="21"/>
        </w:rPr>
        <w:t xml:space="preserve">A commercial decision — specify. A cap that swallows a data breach indemnity leaves the Controller carrying regulatory exposure it cannot control.</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sz w:val="21"/>
          <w:szCs w:val="21"/>
        </w:rPr>
        <w:t xml:space="preserve">This addendum is governed by the law governing the main agreement, save that the applicable data protection regime governs the data protection analysis.</w:t>
      </w:r>
    </w:p>
    <w:p>
      <w:pPr>
        <w:spacing w:after="120" w:before="60" w:line="276"/>
        <w:ind w:left="720" w:hanging="720"/>
        <w:jc w:val="both"/>
      </w:pPr>
      <w:r>
        <w:rPr>
          <w:rFonts w:ascii="Calibri" w:cs="Calibri" w:eastAsia="Calibri" w:hAnsi="Calibri"/>
          <w:sz w:val="21"/>
          <w:szCs w:val="21"/>
        </w:rPr>
        <w:t xml:space="preserve">6.4	</w:t>
      </w:r>
      <w:r>
        <w:rPr>
          <w:rFonts w:ascii="Calibri" w:cs="Calibri" w:eastAsia="Calibri" w:hAnsi="Calibri"/>
          <w:sz w:val="21"/>
          <w:szCs w:val="21"/>
        </w:rPr>
        <w:t xml:space="preserve">It survives termination for as long as the Processor holds personal data.</w:t>
      </w:r>
    </w:p>
    <w:p>
      <w:pPr>
        <w:spacing w:after="18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the Controller</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the Processor</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SCHEDULE 1</w:t>
      </w:r>
    </w:p>
    <w:p>
      <w:pPr>
        <w:spacing w:after="260"/>
        <w:jc w:val="center"/>
      </w:pPr>
      <w:r>
        <w:rPr>
          <w:rFonts w:ascii="Calibri" w:cs="Calibri" w:eastAsia="Calibri" w:hAnsi="Calibri"/>
          <w:i/>
          <w:iCs/>
          <w:color w:val="6E7480"/>
          <w:sz w:val="19"/>
          <w:szCs w:val="19"/>
        </w:rPr>
        <w:t xml:space="preserve">Processing Details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084"/>
        <w:gridCol w:w="6554"/>
      </w:tblGrid>
      <w:tr>
        <w:trPr>
          <w:cantSplit/>
          <w:tblHeader/>
        </w:trPr>
        <w:tc>
          <w:tcPr>
            <w:tcW w:type="dxa" w:w="308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Item</w:t>
            </w:r>
          </w:p>
        </w:tc>
        <w:tc>
          <w:tcPr>
            <w:tcW w:type="dxa" w:w="655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r>
        <w:trPr>
          <w:cantSplit/>
        </w:trP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Subject matter</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[DESCRIBE]</w:t>
            </w:r>
          </w:p>
        </w:tc>
      </w:tr>
      <w:tr>
        <w:trPr>
          <w:cantSplit/>
        </w:trP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Purpose</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[THE SPECIFIC PURPOSE, not "provision of the services"]</w:t>
            </w:r>
          </w:p>
        </w:tc>
      </w:tr>
      <w:tr>
        <w:trPr>
          <w:cantSplit/>
        </w:trP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Nature of processing</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[Collection, storage, hosting, analysis, transmission, deletion]</w:t>
            </w:r>
          </w:p>
        </w:tc>
      </w:tr>
      <w:tr>
        <w:trPr>
          <w:cantSplit/>
        </w:trP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Categories of personal data</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[LIST SPECIFICALLY]</w:t>
            </w:r>
          </w:p>
        </w:tc>
      </w:tr>
      <w:tr>
        <w:trPr>
          <w:cantSplit/>
        </w:trP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Special or sensitive categories</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[Health, biometric, criminal record — or None]</w:t>
            </w:r>
          </w:p>
        </w:tc>
      </w:tr>
      <w:tr>
        <w:trPr>
          <w:cantSplit/>
        </w:trP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Categories of data subject</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[Employees / customers / applicants / dependants]</w:t>
            </w:r>
          </w:p>
        </w:tc>
      </w:tr>
      <w:tr>
        <w:trPr>
          <w:cantSplit/>
        </w:trP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Approximate volume</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[NUMBER]</w:t>
            </w:r>
            <w:r>
              <w:rPr>
                <w:rFonts w:ascii="Calibri" w:cs="Calibri" w:eastAsia="Calibri" w:hAnsi="Calibri"/>
                <w:sz w:val="18"/>
                <w:szCs w:val="18"/>
              </w:rPr>
              <w:t xml:space="preserve"> records</w:t>
            </w:r>
          </w:p>
        </w:tc>
      </w:tr>
      <w:tr>
        <w:trPr>
          <w:cantSplit/>
        </w:trP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Duration of processing</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[Term of the main agreement plus ______]</w:t>
            </w:r>
          </w:p>
        </w:tc>
      </w:tr>
      <w:tr>
        <w:trPr>
          <w:cantSplit/>
        </w:trP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Locations where data is processed</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[COUNTRIES AND REGIONS — including cloud regions]</w:t>
            </w:r>
          </w:p>
        </w:tc>
      </w:tr>
      <w:tr>
        <w:trPr>
          <w:cantSplit/>
        </w:trP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Who can access it, and from where</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[INCLUDING REMOTE SUPPORT]</w:t>
            </w:r>
          </w:p>
        </w:tc>
      </w:tr>
      <w:tr>
        <w:trPr>
          <w:cantSplit/>
        </w:trP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Retention and deletion</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r>
        <w:trPr>
          <w:cantSplit/>
        </w:trP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Approved sub-processors</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[LIST WITH LOCATIONS / None]</w:t>
            </w:r>
          </w:p>
        </w:tc>
      </w:tr>
    </w:tbl>
    <w:p>
      <w:pPr>
        <w:spacing w:after="150"/>
      </w:pPr>
    </w:p>
    <w:p>
      <w:pPr>
        <w:spacing w:after="60" w:before="240"/>
        <w:jc w:val="center"/>
      </w:pPr>
      <w:r>
        <w:rPr>
          <w:rFonts w:ascii="Calibri" w:cs="Calibri" w:eastAsia="Calibri" w:hAnsi="Calibri"/>
          <w:b/>
          <w:bCs/>
          <w:color w:val="14161B"/>
          <w:spacing w:val="12"/>
          <w:sz w:val="28"/>
          <w:szCs w:val="28"/>
        </w:rPr>
        <w:t xml:space="preserve">SCHEDULE 2</w:t>
      </w:r>
    </w:p>
    <w:p>
      <w:pPr>
        <w:spacing w:after="260"/>
        <w:jc w:val="center"/>
      </w:pPr>
      <w:r>
        <w:rPr>
          <w:rFonts w:ascii="Calibri" w:cs="Calibri" w:eastAsia="Calibri" w:hAnsi="Calibri"/>
          <w:i/>
          <w:iCs/>
          <w:color w:val="6E7480"/>
          <w:sz w:val="19"/>
          <w:szCs w:val="19"/>
        </w:rPr>
        <w:t xml:space="preserve">Security Measures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7517"/>
        <w:gridCol w:w="1640"/>
      </w:tblGrid>
      <w:tr>
        <w:trPr>
          <w:cantSplit/>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751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Measure</w:t>
            </w:r>
          </w:p>
        </w:tc>
        <w:tc>
          <w:tcPr>
            <w:tcW w:type="dxa" w:w="16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In place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Access control on a least-privilege basis, reviewed periodically</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Multi-factor authentication on administrative access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Encryption in transit</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Encryption at rest</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Segregation of the Controller’s data from other customers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Logging and monitoring of access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Backup and tested restoration</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Vulnerability management and patching</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9</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Personnel screening and confidentiality undertakings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10</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Security training</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Documented incident response plan</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12</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Secure deletion and media disposal</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13</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Sub-processor due diligence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14</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Independent certification or audit report</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Establish the governing regime first</w:t>
      </w:r>
    </w:p>
    <w:p>
      <w:pPr>
        <w:spacing w:after="60" w:line="264"/>
        <w:jc w:val="both"/>
      </w:pPr>
      <w:r>
        <w:rPr>
          <w:rFonts w:ascii="Calibri" w:cs="Calibri" w:eastAsia="Calibri" w:hAnsi="Calibri"/>
          <w:sz w:val="19"/>
          <w:szCs w:val="19"/>
        </w:rPr>
        <w:t xml:space="preserve">It follows the controller’s establishment. A DIFC controller is governed by DIFC Law 5/2020 and regulated by the DIFC Commissioner; a mainland or ordinary free zone controller by the federal PDPL. An addendum citing the wrong law names the wrong regulator, the wrong rights and the wrong timelines.</w:t>
      </w:r>
    </w:p>
    <w:p>
      <w:pPr>
        <w:keepNext/>
        <w:spacing w:after="40" w:before="140"/>
      </w:pPr>
      <w:r>
        <w:rPr>
          <w:rFonts w:ascii="Calibri" w:cs="Calibri" w:eastAsia="Calibri" w:hAnsi="Calibri"/>
          <w:b/>
          <w:bCs/>
          <w:color w:val="14161B"/>
          <w:sz w:val="20"/>
          <w:szCs w:val="20"/>
        </w:rPr>
        <w:t xml:space="preserve">DIFC to mainland is a restricted transfer</w:t>
      </w:r>
    </w:p>
    <w:p>
      <w:pPr>
        <w:spacing w:after="60" w:line="264"/>
        <w:jc w:val="both"/>
      </w:pPr>
      <w:r>
        <w:rPr>
          <w:rFonts w:ascii="Calibri" w:cs="Calibri" w:eastAsia="Calibri" w:hAnsi="Calibri"/>
          <w:sz w:val="19"/>
          <w:szCs w:val="19"/>
        </w:rPr>
        <w:t xml:space="preserve">The UAE mainland is not on the DIFC adequacy list. A DIFC controller engaging a mainland processor — a payroll bureau, an IT provider, a bank — is making a restricted transfer requiring safeguards. This happens constantly within groups and is almost never documented.</w:t>
      </w:r>
    </w:p>
    <w:p>
      <w:pPr>
        <w:keepNext/>
        <w:spacing w:after="40" w:before="140"/>
      </w:pPr>
      <w:r>
        <w:rPr>
          <w:rFonts w:ascii="Calibri" w:cs="Calibri" w:eastAsia="Calibri" w:hAnsi="Calibri"/>
          <w:b/>
          <w:bCs/>
          <w:color w:val="14161B"/>
          <w:sz w:val="20"/>
          <w:szCs w:val="20"/>
        </w:rPr>
        <w:t xml:space="preserve">The three adequacy lists differ</w:t>
      </w:r>
    </w:p>
    <w:p>
      <w:pPr>
        <w:spacing w:after="60" w:line="264"/>
        <w:jc w:val="both"/>
      </w:pPr>
      <w:r>
        <w:rPr>
          <w:rFonts w:ascii="Calibri" w:cs="Calibri" w:eastAsia="Calibri" w:hAnsi="Calibri"/>
          <w:sz w:val="19"/>
          <w:szCs w:val="19"/>
        </w:rPr>
        <w:t xml:space="preserve">DIFC, ADGM and the federal regime each take their own position. A destination acceptable under one is not automatically acceptable under another. Check the list for the exporting jurisdiction and record the date checked, because the lists change.</w:t>
      </w:r>
    </w:p>
    <w:p>
      <w:pPr>
        <w:keepNext/>
        <w:spacing w:after="40" w:before="140"/>
      </w:pPr>
      <w:r>
        <w:rPr>
          <w:rFonts w:ascii="Calibri" w:cs="Calibri" w:eastAsia="Calibri" w:hAnsi="Calibri"/>
          <w:b/>
          <w:bCs/>
          <w:color w:val="14161B"/>
          <w:sz w:val="20"/>
          <w:szCs w:val="20"/>
        </w:rPr>
        <w:t xml:space="preserve">Twenty-four hours for breach notification</w:t>
      </w:r>
    </w:p>
    <w:p>
      <w:pPr>
        <w:spacing w:after="60" w:line="264"/>
        <w:jc w:val="both"/>
      </w:pPr>
      <w:r>
        <w:rPr>
          <w:rFonts w:ascii="Calibri" w:cs="Calibri" w:eastAsia="Calibri" w:hAnsi="Calibri"/>
          <w:sz w:val="19"/>
          <w:szCs w:val="19"/>
        </w:rPr>
        <w:t xml:space="preserve">The controller carries the regulatory deadline, and a processor notifying "promptly" several days later has consumed most of it. Twenty-four hours is a demanding but achievable standard, and it is the single most valuable clause in the addendum.</w:t>
      </w:r>
    </w:p>
    <w:p>
      <w:pPr>
        <w:keepNext/>
        <w:spacing w:after="40" w:before="140"/>
      </w:pPr>
      <w:r>
        <w:rPr>
          <w:rFonts w:ascii="Calibri" w:cs="Calibri" w:eastAsia="Calibri" w:hAnsi="Calibri"/>
          <w:b/>
          <w:bCs/>
          <w:color w:val="14161B"/>
          <w:sz w:val="20"/>
          <w:szCs w:val="20"/>
        </w:rPr>
        <w:t xml:space="preserve">Do not let the processor notify the regulator</w:t>
      </w:r>
    </w:p>
    <w:p>
      <w:pPr>
        <w:spacing w:after="60" w:line="264"/>
        <w:jc w:val="both"/>
      </w:pPr>
      <w:r>
        <w:rPr>
          <w:rFonts w:ascii="Calibri" w:cs="Calibri" w:eastAsia="Calibri" w:hAnsi="Calibri"/>
          <w:sz w:val="19"/>
          <w:szCs w:val="19"/>
        </w:rPr>
        <w:t xml:space="preserve">A processor contacting a regulator or data subjects on its own initiative removes the controller’s ability to manage the assessment and the message. Clause 4.4 reserves that decision to the controller.</w:t>
      </w:r>
    </w:p>
    <w:p>
      <w:pPr>
        <w:keepNext/>
        <w:spacing w:after="40" w:before="140"/>
      </w:pPr>
      <w:r>
        <w:rPr>
          <w:rFonts w:ascii="Calibri" w:cs="Calibri" w:eastAsia="Calibri" w:hAnsi="Calibri"/>
          <w:b/>
          <w:bCs/>
          <w:color w:val="14161B"/>
          <w:sz w:val="20"/>
          <w:szCs w:val="20"/>
        </w:rPr>
        <w:t xml:space="preserve">Require notification before the investigation is complete</w:t>
      </w:r>
    </w:p>
    <w:p>
      <w:pPr>
        <w:spacing w:after="60" w:line="264"/>
        <w:jc w:val="both"/>
      </w:pPr>
      <w:r>
        <w:rPr>
          <w:rFonts w:ascii="Calibri" w:cs="Calibri" w:eastAsia="Calibri" w:hAnsi="Calibri"/>
          <w:sz w:val="19"/>
          <w:szCs w:val="19"/>
        </w:rPr>
        <w:t xml:space="preserve">Processors delay notification while establishing scope, which is exactly backwards. Initial notification should be immediate and incomplete, with detail following. Clause 4.3 says so explicitly.</w:t>
      </w:r>
    </w:p>
    <w:p>
      <w:pPr>
        <w:keepNext/>
        <w:spacing w:after="40" w:before="140"/>
      </w:pPr>
      <w:r>
        <w:rPr>
          <w:rFonts w:ascii="Calibri" w:cs="Calibri" w:eastAsia="Calibri" w:hAnsi="Calibri"/>
          <w:b/>
          <w:bCs/>
          <w:color w:val="14161B"/>
          <w:sz w:val="20"/>
          <w:szCs w:val="20"/>
        </w:rPr>
        <w:t xml:space="preserve">Name the purpose specifically</w:t>
      </w:r>
    </w:p>
    <w:p>
      <w:pPr>
        <w:spacing w:after="60" w:line="264"/>
        <w:jc w:val="both"/>
      </w:pPr>
      <w:r>
        <w:rPr>
          <w:rFonts w:ascii="Calibri" w:cs="Calibri" w:eastAsia="Calibri" w:hAnsi="Calibri"/>
          <w:sz w:val="19"/>
          <w:szCs w:val="19"/>
        </w:rPr>
        <w:t xml:space="preserve">A purpose stated as "provision of the services" instructs nothing and permits almost anything. Schedule 1 requires the actual purpose. This is the same discipline as the purpose clause in an NDA and it matters for the same reason.</w:t>
      </w:r>
    </w:p>
    <w:p>
      <w:pPr>
        <w:keepNext/>
        <w:spacing w:after="40" w:before="140"/>
      </w:pPr>
      <w:r>
        <w:rPr>
          <w:rFonts w:ascii="Calibri" w:cs="Calibri" w:eastAsia="Calibri" w:hAnsi="Calibri"/>
          <w:b/>
          <w:bCs/>
          <w:color w:val="14161B"/>
          <w:sz w:val="20"/>
          <w:szCs w:val="20"/>
        </w:rPr>
        <w:t xml:space="preserve">Ask where the data actually sits and who can reach it</w:t>
      </w:r>
    </w:p>
    <w:p>
      <w:pPr>
        <w:spacing w:after="60" w:line="264"/>
        <w:jc w:val="both"/>
      </w:pPr>
      <w:r>
        <w:rPr>
          <w:rFonts w:ascii="Calibri" w:cs="Calibri" w:eastAsia="Calibri" w:hAnsi="Calibri"/>
          <w:sz w:val="19"/>
          <w:szCs w:val="19"/>
        </w:rPr>
        <w:t xml:space="preserve">Cloud services distribute processing across regions, and support teams access data from wherever they are. Schedule 1 asks for locations and access, including remote support. Remote access is a transfer even where nothing is downloaded.</w:t>
      </w:r>
    </w:p>
    <w:p>
      <w:pPr>
        <w:keepNext/>
        <w:spacing w:after="40" w:before="140"/>
      </w:pPr>
      <w:r>
        <w:rPr>
          <w:rFonts w:ascii="Calibri" w:cs="Calibri" w:eastAsia="Calibri" w:hAnsi="Calibri"/>
          <w:b/>
          <w:bCs/>
          <w:color w:val="14161B"/>
          <w:sz w:val="20"/>
          <w:szCs w:val="20"/>
        </w:rPr>
        <w:t xml:space="preserve">Control sub-processors properly</w:t>
      </w:r>
    </w:p>
    <w:p>
      <w:pPr>
        <w:spacing w:after="60" w:line="264"/>
        <w:jc w:val="both"/>
      </w:pPr>
      <w:r>
        <w:rPr>
          <w:rFonts w:ascii="Calibri" w:cs="Calibri" w:eastAsia="Calibri" w:hAnsi="Calibri"/>
          <w:sz w:val="19"/>
          <w:szCs w:val="19"/>
        </w:rPr>
        <w:t xml:space="preserve">Require prior written authorisation, a list of those approved, equivalent obligations flowed down, and continuing liability. A general consent to any sub-processor the processor chooses gives the controller no visibility of where its data ends up.</w:t>
      </w:r>
    </w:p>
    <w:p>
      <w:pPr>
        <w:keepNext/>
        <w:spacing w:after="40" w:before="140"/>
      </w:pPr>
      <w:r>
        <w:rPr>
          <w:rFonts w:ascii="Calibri" w:cs="Calibri" w:eastAsia="Calibri" w:hAnsi="Calibri"/>
          <w:b/>
          <w:bCs/>
          <w:color w:val="14161B"/>
          <w:sz w:val="20"/>
          <w:szCs w:val="20"/>
        </w:rPr>
        <w:t xml:space="preserve">Make the security measures specific</w:t>
      </w:r>
    </w:p>
    <w:p>
      <w:pPr>
        <w:spacing w:after="60" w:line="264"/>
        <w:jc w:val="both"/>
      </w:pPr>
      <w:r>
        <w:rPr>
          <w:rFonts w:ascii="Calibri" w:cs="Calibri" w:eastAsia="Calibri" w:hAnsi="Calibri"/>
          <w:sz w:val="19"/>
          <w:szCs w:val="19"/>
        </w:rPr>
        <w:t xml:space="preserve">A clause requiring "appropriate technical and organisational measures" is unenforceable in practice because nobody can say what was promised. Schedule 2 lists fourteen measures with a yes or no against each, which is checkable at audit and at breach.</w:t>
      </w:r>
    </w:p>
    <w:p>
      <w:pPr>
        <w:keepNext/>
        <w:spacing w:after="40" w:before="140"/>
      </w:pPr>
      <w:r>
        <w:rPr>
          <w:rFonts w:ascii="Calibri" w:cs="Calibri" w:eastAsia="Calibri" w:hAnsi="Calibri"/>
          <w:b/>
          <w:bCs/>
          <w:color w:val="14161B"/>
          <w:sz w:val="20"/>
          <w:szCs w:val="20"/>
        </w:rPr>
        <w:t xml:space="preserve">Decide whether liability sits inside the cap</w:t>
      </w:r>
    </w:p>
    <w:p>
      <w:pPr>
        <w:spacing w:after="60" w:line="264"/>
        <w:jc w:val="both"/>
      </w:pPr>
      <w:r>
        <w:rPr>
          <w:rFonts w:ascii="Calibri" w:cs="Calibri" w:eastAsia="Calibri" w:hAnsi="Calibri"/>
          <w:sz w:val="19"/>
          <w:szCs w:val="19"/>
        </w:rPr>
        <w:t xml:space="preserve">A data breach can generate regulatory penalties and claims far exceeding the contract value. Whether that liability is subject to the main agreement’s cap is the most negotiated point here, and leaving it unstated favours the processor.</w:t>
      </w:r>
    </w:p>
    <w:p>
      <w:pPr>
        <w:keepNext/>
        <w:spacing w:after="40" w:before="140"/>
      </w:pPr>
      <w:r>
        <w:rPr>
          <w:rFonts w:ascii="Calibri" w:cs="Calibri" w:eastAsia="Calibri" w:hAnsi="Calibri"/>
          <w:b/>
          <w:bCs/>
          <w:color w:val="14161B"/>
          <w:sz w:val="20"/>
          <w:szCs w:val="20"/>
        </w:rPr>
        <w:t xml:space="preserve">Deletion needs a carve-out for backups</w:t>
      </w:r>
    </w:p>
    <w:p>
      <w:pPr>
        <w:spacing w:after="60" w:line="264"/>
        <w:jc w:val="both"/>
      </w:pPr>
      <w:r>
        <w:rPr>
          <w:rFonts w:ascii="Calibri" w:cs="Calibri" w:eastAsia="Calibri" w:hAnsi="Calibri"/>
          <w:sz w:val="19"/>
          <w:szCs w:val="19"/>
        </w:rPr>
        <w:t xml:space="preserve">Backup systems cannot be selectively purged, so a deletion clause with no exception is breached the moment it is signed. Permit retention where required by law or by bona fide backup policies, under continuing obligations.</w:t>
      </w:r>
    </w:p>
    <w:p>
      <w:pPr>
        <w:keepNext/>
        <w:spacing w:after="40" w:before="140"/>
      </w:pPr>
      <w:r>
        <w:rPr>
          <w:rFonts w:ascii="Calibri" w:cs="Calibri" w:eastAsia="Calibri" w:hAnsi="Calibri"/>
          <w:b/>
          <w:bCs/>
          <w:color w:val="14161B"/>
          <w:sz w:val="20"/>
          <w:szCs w:val="20"/>
        </w:rPr>
        <w:t xml:space="preserve">Employee data is the volume case</w:t>
      </w:r>
    </w:p>
    <w:p>
      <w:pPr>
        <w:spacing w:after="60" w:line="264"/>
        <w:jc w:val="both"/>
      </w:pPr>
      <w:r>
        <w:rPr>
          <w:rFonts w:ascii="Calibri" w:cs="Calibri" w:eastAsia="Calibri" w:hAnsi="Calibri"/>
          <w:sz w:val="19"/>
          <w:szCs w:val="19"/>
        </w:rPr>
        <w:t xml:space="preserve">Payroll, visa records, passport copies, medical testing and health insurance data all flow to processors, and much of it is sensitive. Any payroll or HR provider needs this addendum, and the sensitive category question in Schedule 1 is usually answered yes.</w:t>
      </w:r>
    </w:p>
    <w:p>
      <w:pPr>
        <w:keepNext/>
        <w:spacing w:after="40" w:before="140"/>
      </w:pPr>
      <w:r>
        <w:rPr>
          <w:rFonts w:ascii="Calibri" w:cs="Calibri" w:eastAsia="Calibri" w:hAnsi="Calibri"/>
          <w:b/>
          <w:bCs/>
          <w:color w:val="14161B"/>
          <w:sz w:val="20"/>
          <w:szCs w:val="20"/>
        </w:rPr>
        <w:t xml:space="preserve">Audit rights need to be usable</w:t>
      </w:r>
    </w:p>
    <w:p>
      <w:pPr>
        <w:spacing w:after="60" w:line="264"/>
        <w:jc w:val="both"/>
      </w:pPr>
      <w:r>
        <w:rPr>
          <w:rFonts w:ascii="Calibri" w:cs="Calibri" w:eastAsia="Calibri" w:hAnsi="Calibri"/>
          <w:sz w:val="19"/>
          <w:szCs w:val="19"/>
        </w:rPr>
        <w:t xml:space="preserve">Rights that can only be exercised with lengthy notice, at the controller’s expense, once every several years, are decorative. Reasonable notice, annually, plus a right after a breach, is a workable formulation — and a current independent certification often satisfies it in practice.</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UAE, DIFC and ADGM positions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w:t>
      </w:r>
      <w:r>
        <w:rPr>
          <w:rFonts w:ascii="Calibri" w:cs="Calibri" w:eastAsia="Calibri" w:hAnsi="Calibri"/>
          <w:b/>
          <w:bCs/>
          <w:sz w:val="19"/>
          <w:szCs w:val="19"/>
        </w:rPr>
        <w:t xml:space="preserve">The status of the federal PDPL Executive Regulations is reported inconsistently and must be verified.</w:t>
      </w:r>
      <w:r>
        <w:rPr>
          <w:rFonts w:ascii="Calibri" w:cs="Calibri" w:eastAsia="Calibri" w:hAnsi="Calibri"/>
          <w:sz w:val="19"/>
          <w:szCs w:val="19"/>
        </w:rPr>
        <w:t xml:space="preserve"> Adequacy lists, transfer mechanisms, breach notification deadlines and DIFC requirements including those for automated systems all change — confirm with the relevant regulator or a UAE data protection adviser.</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2026-08-23T16:28:35.497Z</dcterms:created>
  <dcterms:modified xsi:type="dcterms:W3CDTF">2026-08-23T16:28:35.497Z</dcterms:modified>
</cp:coreProperties>
</file>

<file path=docProps/custom.xml><?xml version="1.0" encoding="utf-8"?>
<Properties xmlns="http://schemas.openxmlformats.org/officeDocument/2006/custom-properties" xmlns:vt="http://schemas.openxmlformats.org/officeDocument/2006/docPropsVTypes"/>
</file>