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DATA BREACH RESPONSE</w:t>
      </w:r>
    </w:p>
    <w:p>
      <w:pPr>
        <w:spacing w:after="260"/>
        <w:jc w:val="center"/>
      </w:pPr>
      <w:r>
        <w:rPr>
          <w:rFonts w:ascii="Calibri" w:cs="Calibri" w:eastAsia="Calibri" w:hAnsi="Calibri"/>
          <w:i/>
          <w:iCs/>
          <w:color w:val="6E7480"/>
          <w:sz w:val="19"/>
          <w:szCs w:val="19"/>
        </w:rPr>
        <w:t xml:space="preserve">Containment, assessment and notification</w:t>
      </w:r>
    </w:p>
    <w:p>
      <w:pPr>
        <w:spacing w:after="180" w:before="0" w:line="276"/>
        <w:jc w:val="both"/>
      </w:pPr>
      <w:r>
        <w:rPr>
          <w:rFonts w:ascii="Calibri" w:cs="Calibri" w:eastAsia="Calibri" w:hAnsi="Calibri"/>
          <w:i/>
          <w:iCs/>
          <w:color w:val="6E7480"/>
          <w:sz w:val="21"/>
          <w:szCs w:val="21"/>
        </w:rPr>
        <w:t xml:space="preserve">Two things decide how this goes. </w:t>
      </w:r>
      <w:r>
        <w:rPr>
          <w:rFonts w:ascii="Calibri" w:cs="Calibri" w:eastAsia="Calibri" w:hAnsi="Calibri"/>
          <w:b/>
          <w:bCs/>
          <w:i/>
          <w:iCs/>
          <w:color w:val="6E7480"/>
          <w:sz w:val="21"/>
          <w:szCs w:val="21"/>
        </w:rPr>
        <w:t xml:space="preserve">Which regime applies</w:t>
      </w:r>
      <w:r>
        <w:rPr>
          <w:rFonts w:ascii="Calibri" w:cs="Calibri" w:eastAsia="Calibri" w:hAnsi="Calibri"/>
          <w:i/>
          <w:iCs/>
          <w:color w:val="6E7480"/>
          <w:sz w:val="21"/>
          <w:szCs w:val="21"/>
        </w:rPr>
        <w:t xml:space="preserve"> — federal PDPL, DIFC or ADGM, each with its own regulator and its own timeline. And whether people </w:t>
      </w:r>
      <w:r>
        <w:rPr>
          <w:rFonts w:ascii="Calibri" w:cs="Calibri" w:eastAsia="Calibri" w:hAnsi="Calibri"/>
          <w:b/>
          <w:bCs/>
          <w:i/>
          <w:iCs/>
          <w:color w:val="6E7480"/>
          <w:sz w:val="21"/>
          <w:szCs w:val="21"/>
        </w:rPr>
        <w:t xml:space="preserve">report immediately or try to fix it quietly first</w:t>
      </w:r>
      <w:r>
        <w:rPr>
          <w:rFonts w:ascii="Calibri" w:cs="Calibri" w:eastAsia="Calibri" w:hAnsi="Calibri"/>
          <w:i/>
          <w:iCs/>
          <w:color w:val="6E7480"/>
          <w:sz w:val="21"/>
          <w:szCs w:val="21"/>
        </w:rPr>
        <w:t xml:space="preserve">, which is what loses containment time and destroys the logs needed to establish scope.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Applicable regime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PDPL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[UAE Data Office / DIFC Commissioner / ADGM Office of Data Protection]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Report a breach to</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r>
              <w:rPr>
                <w:rFonts w:ascii="Calibri" w:cs="Calibri" w:eastAsia="Calibri" w:hAnsi="Calibri"/>
                <w:sz w:val="19"/>
                <w:szCs w:val="19"/>
              </w:rPr>
              <w:t xml:space="preserve"> / </w:t>
            </w:r>
            <w:r>
              <w:rPr>
                <w:rFonts w:ascii="Calibri" w:cs="Calibri" w:eastAsia="Calibri" w:hAnsi="Calibri"/>
                <w:b/>
                <w:bCs/>
                <w:sz w:val="19"/>
                <w:szCs w:val="19"/>
              </w:rPr>
              <w:t xml:space="preserve">[PHONE]</w:t>
            </w:r>
            <w:r>
              <w:rPr>
                <w:rFonts w:ascii="Calibri" w:cs="Calibri" w:eastAsia="Calibri" w:hAnsi="Calibri"/>
                <w:sz w:val="19"/>
                <w:szCs w:val="19"/>
              </w:rPr>
              <w:t xml:space="preserve"> — </w:t>
            </w:r>
            <w:r>
              <w:rPr>
                <w:rFonts w:ascii="Calibri" w:cs="Calibri" w:eastAsia="Calibri" w:hAnsi="Calibri"/>
                <w:b/>
                <w:bCs/>
                <w:sz w:val="19"/>
                <w:szCs w:val="19"/>
              </w:rPr>
              <w:t xml:space="preserve">immediately, 24 hours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Incident lead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IT contact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External support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[Forensics / legal / insurer]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Working notification deadline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72 hours from awareness</w:t>
            </w:r>
            <w:r>
              <w:rPr>
                <w:rFonts w:ascii="Calibri" w:cs="Calibri" w:eastAsia="Calibri" w:hAnsi="Calibri"/>
                <w:sz w:val="19"/>
                <w:szCs w:val="19"/>
              </w:rPr>
              <w:t xml:space="preserve"> — </w:t>
            </w:r>
            <w:r>
              <w:rPr>
                <w:rFonts w:ascii="Calibri" w:cs="Calibri" w:eastAsia="Calibri" w:hAnsi="Calibri"/>
                <w:i/>
                <w:iCs/>
                <w:sz w:val="19"/>
                <w:szCs w:val="19"/>
              </w:rPr>
              <w:t xml:space="preserve">see the notes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Plan tested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COUNTS AS A BREACH</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A personal data breach is any incident leading to accidental or unlawful </w:t>
      </w:r>
      <w:r>
        <w:rPr>
          <w:rFonts w:ascii="Calibri" w:cs="Calibri" w:eastAsia="Calibri" w:hAnsi="Calibri"/>
          <w:b/>
          <w:bCs/>
          <w:sz w:val="21"/>
          <w:szCs w:val="21"/>
        </w:rPr>
        <w:t xml:space="preserve">destruction, loss, alteration, unauthorised disclosure of, or access to</w:t>
      </w:r>
      <w:r>
        <w:rPr>
          <w:rFonts w:ascii="Calibri" w:cs="Calibri" w:eastAsia="Calibri" w:hAnsi="Calibri"/>
          <w:sz w:val="21"/>
          <w:szCs w:val="21"/>
        </w:rPr>
        <w:t xml:space="preserve"> personal data.</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7518"/>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Type</w:t>
            </w:r>
          </w:p>
        </w:tc>
        <w:tc>
          <w:tcPr>
            <w:tcW w:type="dxa" w:w="75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Examples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Confidentiality</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Email sent to the wrong recipient; misconfigured storage; account compromise; lost unencrypted device; data taken by a leaver</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Integrity</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altered without authority; ransomware encryption</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Availability</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deleted without backup; systems unavailable for an extended period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Physical</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Files taken; unattended documents; discarded records not securely disposed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Third party</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processor or vendor breached, exposing your data</w:t>
            </w:r>
          </w:p>
        </w:tc>
      </w:tr>
    </w:tbl>
    <w:p>
      <w:pPr>
        <w:spacing w:after="140"/>
      </w:pP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Availability is the type most often missed. Ransomware that encrypts personal data without exfiltrating it is still a breach.</w:t>
      </w:r>
    </w:p>
    <w:p>
      <w:pPr>
        <w:keepNext/>
        <w:spacing w:after="120" w:before="280"/>
        <w:outlineLvl w:val="0"/>
      </w:pPr>
      <w:r>
        <w:rPr>
          <w:rFonts w:ascii="Calibri" w:cs="Calibri" w:eastAsia="Calibri" w:hAnsi="Calibri"/>
          <w:b/>
          <w:bCs/>
          <w:color w:val="14161B"/>
          <w:sz w:val="22"/>
          <w:szCs w:val="22"/>
        </w:rPr>
        <w:t xml:space="preserve">2. FIRST HOUR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4242"/>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 not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Report to </w:t>
            </w:r>
            <w:r>
              <w:rPr>
                <w:rFonts w:ascii="Calibri" w:cs="Calibri" w:eastAsia="Calibri" w:hAnsi="Calibri"/>
                <w:b/>
                <w:bCs/>
                <w:sz w:val="18"/>
                <w:szCs w:val="18"/>
              </w:rPr>
              <w:t xml:space="preserve">[ROLE]</w:t>
            </w:r>
            <w:r>
              <w:rPr>
                <w:rFonts w:ascii="Calibri" w:cs="Calibri" w:eastAsia="Calibri" w:hAnsi="Calibri"/>
                <w:b/>
                <w:bCs/>
                <w:sz w:val="18"/>
                <w:szCs w:val="18"/>
              </w:rPr>
              <w:t xml:space="preserve"> immediately</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investigate first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Contain — disable the account, isolate the device, revoke the link</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wipe or rebuild anything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Preserve logs and evidence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let logs roll over or be overwritten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the time of discovery and by whom</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reconstruct it later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Assemble the response team</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handle it alone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Open the incident log</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rely on email threads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the insurer where cyber cover exists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delay past the policy deadline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 processor caused it, require full information</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 not accept "under investigation" as an answer</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Awareness starts the clock.</w:t>
      </w:r>
      <w:r>
        <w:rPr>
          <w:rFonts w:ascii="Calibri" w:cs="Calibri" w:eastAsia="Calibri" w:hAnsi="Calibri"/>
          <w:sz w:val="21"/>
          <w:szCs w:val="21"/>
        </w:rPr>
        <w:t xml:space="preserve"> Record the moment the organisation first knew, not the moment the investigation concluded — the deadline runs from the former.</w:t>
      </w:r>
    </w:p>
    <w:p>
      <w:pPr>
        <w:keepNext/>
        <w:spacing w:after="120" w:before="280"/>
        <w:outlineLvl w:val="0"/>
      </w:pPr>
      <w:r>
        <w:rPr>
          <w:rFonts w:ascii="Calibri" w:cs="Calibri" w:eastAsia="Calibri" w:hAnsi="Calibri"/>
          <w:b/>
          <w:bCs/>
          <w:color w:val="14161B"/>
          <w:sz w:val="22"/>
          <w:szCs w:val="22"/>
        </w:rPr>
        <w:t xml:space="preserve">3. ASSESSMENT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590"/>
        <w:gridCol w:w="366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happened, and when?</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When did we become aware?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 AND TIME]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categories of personal data are involved?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Does it include special or sensitive data?</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[Health, biometric, financial, identity documents]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How many data subjects, and who are they?</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Was the data encrypted or otherwise unintelligible?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r>
              <w:rPr>
                <w:rFonts w:ascii="Calibri" w:cs="Calibri" w:eastAsia="Calibri" w:hAnsi="Calibri"/>
                <w:sz w:val="17"/>
                <w:szCs w:val="17"/>
              </w:rPr>
              <w:t xml:space="preserve"> — may reduce the risk materially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Has it been contained?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Was it exfiltrated, or only accessed?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harm could result — identity theft, fraud, distress, discrimination?</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[ASSESSMENT]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it notifiable to the regulator?</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 — with reasoning]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 affected individuals at high risk?</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 — with reasoning]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any contracts require customer or partner notification?</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data subject to sector rules — health, financial, telecoms?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Were individuals in more than one jurisdiction affected?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 — more than one regulator may apply]</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Record the reasoning for questions 10 and 11 </w:t>
      </w:r>
      <w:r>
        <w:rPr>
          <w:rFonts w:ascii="Calibri" w:cs="Calibri" w:eastAsia="Calibri" w:hAnsi="Calibri"/>
          <w:i/>
          <w:iCs/>
          <w:sz w:val="21"/>
          <w:szCs w:val="21"/>
        </w:rPr>
        <w:t xml:space="preserve">whether the answer is yes or no</w:t>
      </w:r>
      <w:r>
        <w:rPr>
          <w:rFonts w:ascii="Calibri" w:cs="Calibri" w:eastAsia="Calibri" w:hAnsi="Calibri"/>
          <w:i/>
          <w:iCs/>
          <w:sz w:val="21"/>
          <w:szCs w:val="21"/>
        </w:rPr>
        <w:t xml:space="preserve">. A decision not to notify, with no record of how it was reached, is indistinguishable from never having assessed.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NOTIFICATION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2313"/>
        <w:gridCol w:w="3276"/>
        <w:gridCol w:w="2315"/>
      </w:tblGrid>
      <w:tr>
        <w:trPr>
          <w:cantSplit/>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Regime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Regulator</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23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Individuals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Federal PDPL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UAE Data Office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Without undue delay</w:t>
            </w:r>
            <w:r>
              <w:rPr>
                <w:rFonts w:ascii="Calibri" w:cs="Calibri" w:eastAsia="Calibri" w:hAnsi="Calibri"/>
                <w:sz w:val="17"/>
                <w:szCs w:val="17"/>
              </w:rPr>
              <w:t xml:space="preserve"> — a 72-hour standard has been reported; </w:t>
            </w:r>
            <w:r>
              <w:rPr>
                <w:rFonts w:ascii="Calibri" w:cs="Calibri" w:eastAsia="Calibri" w:hAnsi="Calibri"/>
                <w:b/>
                <w:bCs/>
                <w:sz w:val="17"/>
                <w:szCs w:val="17"/>
              </w:rPr>
              <w:t xml:space="preserve">confirm</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breach would cause harm</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DIFC</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DIFC Commissioner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 soon as practicable in the circumstances</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Promptly where there is a high risk</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ADGM</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ADGM Office of Data Protection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Regulations — </w:t>
            </w:r>
            <w:r>
              <w:rPr>
                <w:rFonts w:ascii="Calibri" w:cs="Calibri" w:eastAsia="Calibri" w:hAnsi="Calibri"/>
                <w:b/>
                <w:bCs/>
                <w:sz w:val="17"/>
                <w:szCs w:val="17"/>
              </w:rPr>
              <w:t xml:space="preserve">confirm</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Regulations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Contractual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Customers and partners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each contract — often 24 to 48 hours</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Sector regulator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[Health, financial, telecoms]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sector rules</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The Company adopts 72 hours from awareness as its internal working deadline</w:t>
      </w:r>
      <w:r>
        <w:rPr>
          <w:rFonts w:ascii="Calibri" w:cs="Calibri" w:eastAsia="Calibri" w:hAnsi="Calibri"/>
          <w:sz w:val="21"/>
          <w:szCs w:val="21"/>
        </w:rPr>
        <w:t xml:space="preserve"> while the precise statutory position under the federal regime is confirmed, and will document the reasoning for any longer period.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 notification should describe the nature of the breach, the categories and approximate numbers involved, the DPO’s contact details, the likely consequences, and the measures taken or proposed.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Do not delay notification to complete the investigation.</w:t>
      </w:r>
      <w:r>
        <w:rPr>
          <w:rFonts w:ascii="Calibri" w:cs="Calibri" w:eastAsia="Calibri" w:hAnsi="Calibri"/>
          <w:sz w:val="21"/>
          <w:szCs w:val="21"/>
        </w:rPr>
        <w:t xml:space="preserve"> Notify with what is known and supplement.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Where individuals are notified, tell them plainly what happened, what data was involved, what the risk is, what the Company has done, and what they should do — in language they can act on.</w:t>
      </w:r>
    </w:p>
    <w:p>
      <w:pPr>
        <w:keepNext/>
        <w:spacing w:after="120" w:before="280"/>
        <w:outlineLvl w:val="0"/>
      </w:pPr>
      <w:r>
        <w:rPr>
          <w:rFonts w:ascii="Calibri" w:cs="Calibri" w:eastAsia="Calibri" w:hAnsi="Calibri"/>
          <w:b/>
          <w:bCs/>
          <w:color w:val="14161B"/>
          <w:sz w:val="22"/>
          <w:szCs w:val="22"/>
        </w:rPr>
        <w:t xml:space="preserve">5. NOTIFICATION TO INDIVIDUALS — TEMPLATE</w:t>
      </w:r>
    </w:p>
    <w:p>
      <w:pPr>
        <w:spacing w:after="10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[NAME]</w:t>
      </w:r>
      <w:r>
        <w:rPr>
          <w:rFonts w:ascii="Calibri" w:cs="Calibri" w:eastAsia="Calibri" w:hAnsi="Calibri"/>
          <w:sz w:val="21"/>
          <w:szCs w:val="21"/>
        </w:rPr>
        <w:t xml:space="preserve">,</w:t>
      </w:r>
    </w:p>
    <w:p>
      <w:pPr>
        <w:spacing w:after="110" w:before="0" w:line="276"/>
        <w:jc w:val="both"/>
      </w:pPr>
      <w:r>
        <w:rPr>
          <w:rFonts w:ascii="Calibri" w:cs="Calibri" w:eastAsia="Calibri" w:hAnsi="Calibri"/>
          <w:b/>
          <w:bCs/>
          <w:sz w:val="21"/>
          <w:szCs w:val="21"/>
        </w:rPr>
        <w:t xml:space="preserve">We are writing to tell you about a security incident affecting your personal data.</w:t>
      </w:r>
    </w:p>
    <w:p>
      <w:pPr>
        <w:spacing w:after="100" w:before="0" w:line="276"/>
        <w:jc w:val="both"/>
      </w:pPr>
      <w:r>
        <w:rPr>
          <w:rFonts w:ascii="Calibri" w:cs="Calibri" w:eastAsia="Calibri" w:hAnsi="Calibri"/>
          <w:b/>
          <w:bCs/>
          <w:sz w:val="21"/>
          <w:szCs w:val="21"/>
        </w:rPr>
        <w:t xml:space="preserve">What happened.</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we became aware that </w:t>
      </w:r>
      <w:r>
        <w:rPr>
          <w:rFonts w:ascii="Calibri" w:cs="Calibri" w:eastAsia="Calibri" w:hAnsi="Calibri"/>
          <w:b/>
          <w:bCs/>
          <w:sz w:val="21"/>
          <w:szCs w:val="21"/>
        </w:rPr>
        <w:t xml:space="preserve">[PLAIN DESCRIPTION]</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What information was involved.</w:t>
      </w:r>
      <w:r>
        <w:rPr>
          <w:rFonts w:ascii="Calibri" w:cs="Calibri" w:eastAsia="Calibri" w:hAnsi="Calibri"/>
          <w:sz w:val="21"/>
          <w:szCs w:val="21"/>
        </w:rPr>
        <w:t xml:space="preserve"> </w:t>
      </w:r>
      <w:r>
        <w:rPr>
          <w:rFonts w:ascii="Calibri" w:cs="Calibri" w:eastAsia="Calibri" w:hAnsi="Calibri"/>
          <w:b/>
          <w:bCs/>
          <w:sz w:val="21"/>
          <w:szCs w:val="21"/>
        </w:rPr>
        <w:t xml:space="preserve">[LIST SPECIFICALLY — do not minimise]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What this could mean for you.</w:t>
      </w:r>
      <w:r>
        <w:rPr>
          <w:rFonts w:ascii="Calibri" w:cs="Calibri" w:eastAsia="Calibri" w:hAnsi="Calibri"/>
          <w:sz w:val="21"/>
          <w:szCs w:val="21"/>
        </w:rPr>
        <w:t xml:space="preserve"> </w:t>
      </w:r>
      <w:r>
        <w:rPr>
          <w:rFonts w:ascii="Calibri" w:cs="Calibri" w:eastAsia="Calibri" w:hAnsi="Calibri"/>
          <w:b/>
          <w:bCs/>
          <w:sz w:val="21"/>
          <w:szCs w:val="21"/>
        </w:rPr>
        <w:t xml:space="preserve">[THE REALISTIC RISK]</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What we have done.</w:t>
      </w:r>
      <w:r>
        <w:rPr>
          <w:rFonts w:ascii="Calibri" w:cs="Calibri" w:eastAsia="Calibri" w:hAnsi="Calibri"/>
          <w:sz w:val="21"/>
          <w:szCs w:val="21"/>
        </w:rPr>
        <w:t xml:space="preserve"> </w:t>
      </w:r>
      <w:r>
        <w:rPr>
          <w:rFonts w:ascii="Calibri" w:cs="Calibri" w:eastAsia="Calibri" w:hAnsi="Calibri"/>
          <w:b/>
          <w:bCs/>
          <w:sz w:val="21"/>
          <w:szCs w:val="21"/>
        </w:rPr>
        <w:t xml:space="preserve">[Contained the incident, notified the regulator, engaged specialists, changed the following controls]</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What you should do.</w:t>
      </w:r>
      <w:r>
        <w:rPr>
          <w:rFonts w:ascii="Calibri" w:cs="Calibri" w:eastAsia="Calibri" w:hAnsi="Calibri"/>
          <w:sz w:val="21"/>
          <w:szCs w:val="21"/>
        </w:rPr>
        <w:t xml:space="preserve"> </w:t>
      </w:r>
      <w:r>
        <w:rPr>
          <w:rFonts w:ascii="Calibri" w:cs="Calibri" w:eastAsia="Calibri" w:hAnsi="Calibri"/>
          <w:b/>
          <w:bCs/>
          <w:sz w:val="21"/>
          <w:szCs w:val="21"/>
        </w:rPr>
        <w:t xml:space="preserve">[Specific, actionable steps — change a password, watch for particular messages, contact your bank]</w:t>
      </w:r>
      <w:r>
        <w:rPr>
          <w:rFonts w:ascii="Calibri" w:cs="Calibri" w:eastAsia="Calibri" w:hAnsi="Calibri"/>
          <w:sz w:val="21"/>
          <w:szCs w:val="21"/>
        </w:rPr>
        <w:t xml:space="preserve">.</w:t>
      </w:r>
    </w:p>
    <w:p>
      <w:pPr>
        <w:spacing w:after="140" w:before="0" w:line="276"/>
        <w:jc w:val="both"/>
      </w:pPr>
      <w:r>
        <w:rPr>
          <w:rFonts w:ascii="Calibri" w:cs="Calibri" w:eastAsia="Calibri" w:hAnsi="Calibri"/>
          <w:sz w:val="21"/>
          <w:szCs w:val="21"/>
        </w:rPr>
        <w:t xml:space="preserve">We are sorry this happened. If you have questions,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or </w:t>
      </w:r>
      <w:r>
        <w:rPr>
          <w:rFonts w:ascii="Calibri" w:cs="Calibri" w:eastAsia="Calibri" w:hAnsi="Calibri"/>
          <w:b/>
          <w:bCs/>
          <w:sz w:val="21"/>
          <w:szCs w:val="21"/>
        </w:rPr>
        <w:t xml:space="preserve">[PHONE]</w:t>
      </w:r>
      <w:r>
        <w:rPr>
          <w:rFonts w:ascii="Calibri" w:cs="Calibri" w:eastAsia="Calibri" w:hAnsi="Calibri"/>
          <w:sz w:val="21"/>
          <w:szCs w:val="21"/>
        </w:rPr>
        <w:t xml:space="preserve">. You may also complain to </w:t>
      </w:r>
      <w:r>
        <w:rPr>
          <w:rFonts w:ascii="Calibri" w:cs="Calibri" w:eastAsia="Calibri" w:hAnsi="Calibri"/>
          <w:b/>
          <w:bCs/>
          <w:sz w:val="21"/>
          <w:szCs w:val="21"/>
        </w:rPr>
        <w:t xml:space="preserve">[REGULATOR]</w:t>
      </w:r>
      <w:r>
        <w:rPr>
          <w:rFonts w:ascii="Calibri" w:cs="Calibri" w:eastAsia="Calibri" w:hAnsi="Calibri"/>
          <w:sz w:val="21"/>
          <w:szCs w:val="21"/>
        </w:rPr>
        <w:t xml:space="preserve">.</w:t>
      </w:r>
    </w:p>
    <w:p>
      <w:pPr>
        <w:spacing w:after="16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for </w:t>
      </w:r>
      <w:r>
        <w:rPr>
          <w:rFonts w:ascii="Calibri" w:cs="Calibri" w:eastAsia="Calibri" w:hAnsi="Calibri"/>
          <w:b/>
          <w:bCs/>
          <w:sz w:val="21"/>
          <w:szCs w:val="21"/>
        </w:rPr>
        <w:t xml:space="preserve">[COMPANY NAME]</w:t>
      </w:r>
    </w:p>
    <w:p>
      <w:pPr>
        <w:keepNext/>
        <w:spacing w:after="120" w:before="280"/>
        <w:outlineLvl w:val="0"/>
      </w:pPr>
      <w:r>
        <w:rPr>
          <w:rFonts w:ascii="Calibri" w:cs="Calibri" w:eastAsia="Calibri" w:hAnsi="Calibri"/>
          <w:b/>
          <w:bCs/>
          <w:color w:val="14161B"/>
          <w:sz w:val="22"/>
          <w:szCs w:val="22"/>
        </w:rPr>
        <w:t xml:space="preserve">6. AFTERWARDS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5975"/>
        <w:gridCol w:w="3085"/>
      </w:tblGrid>
      <w:tr>
        <w:trPr>
          <w:cantSplit/>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the incident and the reasoning in the breach register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closure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Identify the root cause — not the person</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[14]</w:t>
            </w:r>
            <w:r>
              <w:rPr>
                <w:rFonts w:ascii="Calibri" w:cs="Calibri" w:eastAsia="Calibri" w:hAnsi="Calibri"/>
                <w:sz w:val="18"/>
                <w:szCs w:val="18"/>
              </w:rPr>
              <w:t xml:space="preserve"> days</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Implement corrective action with owners and dates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[30]</w:t>
            </w:r>
            <w:r>
              <w:rPr>
                <w:rFonts w:ascii="Calibri" w:cs="Calibri" w:eastAsia="Calibri" w:hAnsi="Calibri"/>
                <w:sz w:val="18"/>
                <w:szCs w:val="18"/>
              </w:rPr>
              <w:t xml:space="preserve"> days</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the record of processing and retention</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closure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Update the transfer register where a processor was involved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closure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Reassess the processor and their contractual obligations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closure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Brief staff on what happened and what changed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closure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Retest the response plan</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[Annually]</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Record incidents assessed as not notifiable too.</w:t>
      </w:r>
      <w:r>
        <w:rPr>
          <w:rFonts w:ascii="Calibri" w:cs="Calibri" w:eastAsia="Calibri" w:hAnsi="Calibri"/>
          <w:sz w:val="21"/>
          <w:szCs w:val="21"/>
        </w:rPr>
        <w:t xml:space="preserve"> The register of decisions not to notify is what demonstrates the assessments were made.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Report first, investigate second</w:t>
      </w:r>
    </w:p>
    <w:p>
      <w:pPr>
        <w:spacing w:after="60" w:line="264"/>
        <w:jc w:val="both"/>
      </w:pPr>
      <w:r>
        <w:rPr>
          <w:rFonts w:ascii="Calibri" w:cs="Calibri" w:eastAsia="Calibri" w:hAnsi="Calibri"/>
          <w:sz w:val="19"/>
          <w:szCs w:val="19"/>
        </w:rPr>
        <w:t xml:space="preserve">The instruction to staff must be to report immediately without attempting to assess or resolve. The most damaging delays come from a well-intentioned attempt to fix something quietly, which loses containment time and often destroys the logs needed to establish what was accessed.</w:t>
      </w:r>
    </w:p>
    <w:p>
      <w:pPr>
        <w:keepNext/>
        <w:spacing w:after="40" w:before="140"/>
      </w:pPr>
      <w:r>
        <w:rPr>
          <w:rFonts w:ascii="Calibri" w:cs="Calibri" w:eastAsia="Calibri" w:hAnsi="Calibri"/>
          <w:b/>
          <w:bCs/>
          <w:color w:val="14161B"/>
          <w:sz w:val="20"/>
          <w:szCs w:val="20"/>
        </w:rPr>
        <w:t xml:space="preserve">Awareness starts the clock</w:t>
      </w:r>
    </w:p>
    <w:p>
      <w:pPr>
        <w:spacing w:after="60" w:line="264"/>
        <w:jc w:val="both"/>
      </w:pPr>
      <w:r>
        <w:rPr>
          <w:rFonts w:ascii="Calibri" w:cs="Calibri" w:eastAsia="Calibri" w:hAnsi="Calibri"/>
          <w:sz w:val="19"/>
          <w:szCs w:val="19"/>
        </w:rPr>
        <w:t xml:space="preserve">The notification deadline runs from when the organisation first became aware, not from when the investigation concluded. Record the time of discovery and by whom, contemporaneously — reconstructing it later is both unconvincing and usually unfavourable.</w:t>
      </w:r>
    </w:p>
    <w:p>
      <w:pPr>
        <w:keepNext/>
        <w:spacing w:after="40" w:before="140"/>
      </w:pPr>
      <w:r>
        <w:rPr>
          <w:rFonts w:ascii="Calibri" w:cs="Calibri" w:eastAsia="Calibri" w:hAnsi="Calibri"/>
          <w:b/>
          <w:bCs/>
          <w:color w:val="14161B"/>
          <w:sz w:val="20"/>
          <w:szCs w:val="20"/>
        </w:rPr>
        <w:t xml:space="preserve">Confirm the deadline for your regime</w:t>
      </w:r>
    </w:p>
    <w:p>
      <w:pPr>
        <w:spacing w:after="60" w:line="264"/>
        <w:jc w:val="both"/>
      </w:pPr>
      <w:r>
        <w:rPr>
          <w:rFonts w:ascii="Calibri" w:cs="Calibri" w:eastAsia="Calibri" w:hAnsi="Calibri"/>
          <w:sz w:val="19"/>
          <w:szCs w:val="19"/>
        </w:rPr>
        <w:t xml:space="preserve">Federal PDPL notification timing depends in part on the Executive Regulations, whose status is reported inconsistently. DIFC requires notification as soon as practicable in the circumstances. Adopting 72 hours as an internal working standard is defensible while the position is confirmed; guessing a longer period is not.</w:t>
      </w:r>
    </w:p>
    <w:p>
      <w:pPr>
        <w:keepNext/>
        <w:spacing w:after="40" w:before="140"/>
      </w:pPr>
      <w:r>
        <w:rPr>
          <w:rFonts w:ascii="Calibri" w:cs="Calibri" w:eastAsia="Calibri" w:hAnsi="Calibri"/>
          <w:b/>
          <w:bCs/>
          <w:color w:val="14161B"/>
          <w:sz w:val="20"/>
          <w:szCs w:val="20"/>
        </w:rPr>
        <w:t xml:space="preserve">Preserve logs before remediating</w:t>
      </w:r>
    </w:p>
    <w:p>
      <w:pPr>
        <w:spacing w:after="60" w:line="264"/>
        <w:jc w:val="both"/>
      </w:pPr>
      <w:r>
        <w:rPr>
          <w:rFonts w:ascii="Calibri" w:cs="Calibri" w:eastAsia="Calibri" w:hAnsi="Calibri"/>
          <w:sz w:val="19"/>
          <w:szCs w:val="19"/>
        </w:rPr>
        <w:t xml:space="preserve">Rebuilding a compromised machine or restoring from backup destroys the evidence needed to determine whether personal data was actually accessed — which is the question the whole assessment turns on. Image or preserve first.</w:t>
      </w:r>
    </w:p>
    <w:p>
      <w:pPr>
        <w:keepNext/>
        <w:spacing w:after="40" w:before="140"/>
      </w:pPr>
      <w:r>
        <w:rPr>
          <w:rFonts w:ascii="Calibri" w:cs="Calibri" w:eastAsia="Calibri" w:hAnsi="Calibri"/>
          <w:b/>
          <w:bCs/>
          <w:color w:val="14161B"/>
          <w:sz w:val="20"/>
          <w:szCs w:val="20"/>
        </w:rPr>
        <w:t xml:space="preserve">Encryption can change the assessment materially</w:t>
      </w:r>
    </w:p>
    <w:p>
      <w:pPr>
        <w:spacing w:after="60" w:line="264"/>
        <w:jc w:val="both"/>
      </w:pPr>
      <w:r>
        <w:rPr>
          <w:rFonts w:ascii="Calibri" w:cs="Calibri" w:eastAsia="Calibri" w:hAnsi="Calibri"/>
          <w:sz w:val="19"/>
          <w:szCs w:val="19"/>
        </w:rPr>
        <w:t xml:space="preserve">Where the data was encrypted and the keys were not compromised, the risk to individuals may be substantially lower and the notification analysis different. This is one of the strongest arguments for encrypting at rest before anything happens.</w:t>
      </w:r>
    </w:p>
    <w:p>
      <w:pPr>
        <w:keepNext/>
        <w:spacing w:after="40" w:before="140"/>
      </w:pPr>
      <w:r>
        <w:rPr>
          <w:rFonts w:ascii="Calibri" w:cs="Calibri" w:eastAsia="Calibri" w:hAnsi="Calibri"/>
          <w:b/>
          <w:bCs/>
          <w:color w:val="14161B"/>
          <w:sz w:val="20"/>
          <w:szCs w:val="20"/>
        </w:rPr>
        <w:t xml:space="preserve">Availability breaches count</w:t>
      </w:r>
    </w:p>
    <w:p>
      <w:pPr>
        <w:spacing w:after="60" w:line="264"/>
        <w:jc w:val="both"/>
      </w:pPr>
      <w:r>
        <w:rPr>
          <w:rFonts w:ascii="Calibri" w:cs="Calibri" w:eastAsia="Calibri" w:hAnsi="Calibri"/>
          <w:sz w:val="19"/>
          <w:szCs w:val="19"/>
        </w:rPr>
        <w:t xml:space="preserve">Ransomware that encrypts personal data without exfiltrating it, or deletion without a backup, is a breach. Organisations focused on data theft miss this category entirely and conclude no breach occurred.</w:t>
      </w:r>
    </w:p>
    <w:p>
      <w:pPr>
        <w:keepNext/>
        <w:spacing w:after="40" w:before="140"/>
      </w:pPr>
      <w:r>
        <w:rPr>
          <w:rFonts w:ascii="Calibri" w:cs="Calibri" w:eastAsia="Calibri" w:hAnsi="Calibri"/>
          <w:b/>
          <w:bCs/>
          <w:color w:val="14161B"/>
          <w:sz w:val="20"/>
          <w:szCs w:val="20"/>
        </w:rPr>
        <w:t xml:space="preserve">Record why you did not notify</w:t>
      </w:r>
    </w:p>
    <w:p>
      <w:pPr>
        <w:spacing w:after="60" w:line="264"/>
        <w:jc w:val="both"/>
      </w:pPr>
      <w:r>
        <w:rPr>
          <w:rFonts w:ascii="Calibri" w:cs="Calibri" w:eastAsia="Calibri" w:hAnsi="Calibri"/>
          <w:sz w:val="19"/>
          <w:szCs w:val="19"/>
        </w:rPr>
        <w:t xml:space="preserve">Organisations document notified breaches and record nothing about those assessed and dismissed. If the decision is later questioned, an absent record is indistinguishable from never having assessed. Log the reasoning either way.</w:t>
      </w:r>
    </w:p>
    <w:p>
      <w:pPr>
        <w:keepNext/>
        <w:spacing w:after="40" w:before="140"/>
      </w:pPr>
      <w:r>
        <w:rPr>
          <w:rFonts w:ascii="Calibri" w:cs="Calibri" w:eastAsia="Calibri" w:hAnsi="Calibri"/>
          <w:b/>
          <w:bCs/>
          <w:color w:val="14161B"/>
          <w:sz w:val="20"/>
          <w:szCs w:val="20"/>
        </w:rPr>
        <w:t xml:space="preserve">Do not delay to complete the investigation</w:t>
      </w:r>
    </w:p>
    <w:p>
      <w:pPr>
        <w:spacing w:after="60" w:line="264"/>
        <w:jc w:val="both"/>
      </w:pPr>
      <w:r>
        <w:rPr>
          <w:rFonts w:ascii="Calibri" w:cs="Calibri" w:eastAsia="Calibri" w:hAnsi="Calibri"/>
          <w:sz w:val="19"/>
          <w:szCs w:val="19"/>
        </w:rPr>
        <w:t xml:space="preserve">Initial notification should be prompt and incomplete, with detail following. Waiting until the picture is clear routinely blows the deadline, and regulators treat late notification more seriously than an incomplete first report.</w:t>
      </w:r>
    </w:p>
    <w:p>
      <w:pPr>
        <w:keepNext/>
        <w:spacing w:after="40" w:before="140"/>
      </w:pPr>
      <w:r>
        <w:rPr>
          <w:rFonts w:ascii="Calibri" w:cs="Calibri" w:eastAsia="Calibri" w:hAnsi="Calibri"/>
          <w:b/>
          <w:bCs/>
          <w:color w:val="14161B"/>
          <w:sz w:val="20"/>
          <w:szCs w:val="20"/>
        </w:rPr>
        <w:t xml:space="preserve">Processor breaches are your breach</w:t>
      </w:r>
    </w:p>
    <w:p>
      <w:pPr>
        <w:spacing w:after="60" w:line="264"/>
        <w:jc w:val="both"/>
      </w:pPr>
      <w:r>
        <w:rPr>
          <w:rFonts w:ascii="Calibri" w:cs="Calibri" w:eastAsia="Calibri" w:hAnsi="Calibri"/>
          <w:sz w:val="19"/>
          <w:szCs w:val="19"/>
        </w:rPr>
        <w:t xml:space="preserve">Where a vendor is compromised, the controller carries the regulatory obligation. Require immediate notification in the contract — 24 hours — and full information rather than accepting "under investigation" while your own deadline runs.</w:t>
      </w:r>
    </w:p>
    <w:p>
      <w:pPr>
        <w:keepNext/>
        <w:spacing w:after="40" w:before="140"/>
      </w:pPr>
      <w:r>
        <w:rPr>
          <w:rFonts w:ascii="Calibri" w:cs="Calibri" w:eastAsia="Calibri" w:hAnsi="Calibri"/>
          <w:b/>
          <w:bCs/>
          <w:color w:val="14161B"/>
          <w:sz w:val="20"/>
          <w:szCs w:val="20"/>
        </w:rPr>
        <w:t xml:space="preserve">More than one regulator may apply</w:t>
      </w:r>
    </w:p>
    <w:p>
      <w:pPr>
        <w:spacing w:after="60" w:line="264"/>
        <w:jc w:val="both"/>
      </w:pPr>
      <w:r>
        <w:rPr>
          <w:rFonts w:ascii="Calibri" w:cs="Calibri" w:eastAsia="Calibri" w:hAnsi="Calibri"/>
          <w:sz w:val="19"/>
          <w:szCs w:val="19"/>
        </w:rPr>
        <w:t xml:space="preserve">A group with mainland and DIFC entities may face two regimes, and affected individuals in other countries may bring other regulators into play. Establish the map before an incident, not during one.</w:t>
      </w:r>
    </w:p>
    <w:p>
      <w:pPr>
        <w:keepNext/>
        <w:spacing w:after="40" w:before="140"/>
      </w:pPr>
      <w:r>
        <w:rPr>
          <w:rFonts w:ascii="Calibri" w:cs="Calibri" w:eastAsia="Calibri" w:hAnsi="Calibri"/>
          <w:b/>
          <w:bCs/>
          <w:color w:val="14161B"/>
          <w:sz w:val="20"/>
          <w:szCs w:val="20"/>
        </w:rPr>
        <w:t xml:space="preserve">Write to individuals so they can act</w:t>
      </w:r>
    </w:p>
    <w:p>
      <w:pPr>
        <w:spacing w:after="60" w:line="264"/>
        <w:jc w:val="both"/>
      </w:pPr>
      <w:r>
        <w:rPr>
          <w:rFonts w:ascii="Calibri" w:cs="Calibri" w:eastAsia="Calibri" w:hAnsi="Calibri"/>
          <w:sz w:val="19"/>
          <w:szCs w:val="19"/>
        </w:rPr>
        <w:t xml:space="preserve">A notification full of hedged language tells people nothing. Say plainly what happened, what data was involved, what the realistic risk is, and what specific step they should take. Minimising the description is the thing people remember afterwards.</w:t>
      </w:r>
    </w:p>
    <w:p>
      <w:pPr>
        <w:keepNext/>
        <w:spacing w:after="40" w:before="140"/>
      </w:pPr>
      <w:r>
        <w:rPr>
          <w:rFonts w:ascii="Calibri" w:cs="Calibri" w:eastAsia="Calibri" w:hAnsi="Calibri"/>
          <w:b/>
          <w:bCs/>
          <w:color w:val="14161B"/>
          <w:sz w:val="20"/>
          <w:szCs w:val="20"/>
        </w:rPr>
        <w:t xml:space="preserve">Find the cause, not the culprit</w:t>
      </w:r>
    </w:p>
    <w:p>
      <w:pPr>
        <w:spacing w:after="60" w:line="264"/>
        <w:jc w:val="both"/>
      </w:pPr>
      <w:r>
        <w:rPr>
          <w:rFonts w:ascii="Calibri" w:cs="Calibri" w:eastAsia="Calibri" w:hAnsi="Calibri"/>
          <w:sz w:val="19"/>
          <w:szCs w:val="19"/>
        </w:rPr>
        <w:t xml:space="preserve">An investigation aimed at identifying who is to blame produces defensive accounts and no learning, and it discourages the next person from reporting quickly. Aim at the cause — the misconfiguration, the missing control, the process gap.</w:t>
      </w:r>
    </w:p>
    <w:p>
      <w:pPr>
        <w:keepNext/>
        <w:spacing w:after="40" w:before="140"/>
      </w:pPr>
      <w:r>
        <w:rPr>
          <w:rFonts w:ascii="Calibri" w:cs="Calibri" w:eastAsia="Calibri" w:hAnsi="Calibri"/>
          <w:b/>
          <w:bCs/>
          <w:color w:val="14161B"/>
          <w:sz w:val="20"/>
          <w:szCs w:val="20"/>
        </w:rPr>
        <w:t xml:space="preserve">Notify the insurer early</w:t>
      </w:r>
    </w:p>
    <w:p>
      <w:pPr>
        <w:spacing w:after="60" w:line="264"/>
        <w:jc w:val="both"/>
      </w:pPr>
      <w:r>
        <w:rPr>
          <w:rFonts w:ascii="Calibri" w:cs="Calibri" w:eastAsia="Calibri" w:hAnsi="Calibri"/>
          <w:sz w:val="19"/>
          <w:szCs w:val="19"/>
        </w:rPr>
        <w:t xml:space="preserve">Cyber policies carry their own notification deadlines and often provide access to forensics and legal support that materially improves the response. Late notification can prejudice cover at the moment it is most needed.</w:t>
      </w:r>
    </w:p>
    <w:p>
      <w:pPr>
        <w:keepNext/>
        <w:spacing w:after="40" w:before="140"/>
      </w:pPr>
      <w:r>
        <w:rPr>
          <w:rFonts w:ascii="Calibri" w:cs="Calibri" w:eastAsia="Calibri" w:hAnsi="Calibri"/>
          <w:b/>
          <w:bCs/>
          <w:color w:val="14161B"/>
          <w:sz w:val="20"/>
          <w:szCs w:val="20"/>
        </w:rPr>
        <w:t xml:space="preserve">Test the plan before you need it</w:t>
      </w:r>
    </w:p>
    <w:p>
      <w:pPr>
        <w:spacing w:after="60" w:line="264"/>
        <w:jc w:val="both"/>
      </w:pPr>
      <w:r>
        <w:rPr>
          <w:rFonts w:ascii="Calibri" w:cs="Calibri" w:eastAsia="Calibri" w:hAnsi="Calibri"/>
          <w:sz w:val="19"/>
          <w:szCs w:val="19"/>
        </w:rPr>
        <w:t xml:space="preserve">A plan nobody has walked through fails on the basics — who has authority to disable an account at 2am, who holds the regulator contact details, where the incident log lives. An annual tabletop exercise surfaces all of it cheaply.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DIFC and ADGM positions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The federal PDPL Executive Regulations status is reported inconsistently and the notification deadline must be verified.</w:t>
      </w:r>
      <w:r>
        <w:rPr>
          <w:rFonts w:ascii="Calibri" w:cs="Calibri" w:eastAsia="Calibri" w:hAnsi="Calibri"/>
          <w:sz w:val="19"/>
          <w:szCs w:val="19"/>
        </w:rPr>
        <w:t xml:space="preserve"> DIFC and ADGM requirements and penalty levels change — confirm with the relevant regulator or a UAE data protection adviser and update this plan accordingly.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2026-08-23T16:28:35.542Z</dcterms:created>
  <dcterms:modified xsi:type="dcterms:W3CDTF">2026-08-23T16:28:35.542Z</dcterms:modified>
</cp:coreProperties>
</file>

<file path=docProps/custom.xml><?xml version="1.0" encoding="utf-8"?>
<Properties xmlns="http://schemas.openxmlformats.org/officeDocument/2006/custom-properties" xmlns:vt="http://schemas.openxmlformats.org/officeDocument/2006/docPropsVTypes"/>
</file>