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CROSS-BORDER DATA TRANSFER ASSESSMENT</w:t>
      </w:r>
    </w:p>
    <w:p>
      <w:pPr>
        <w:spacing w:after="260"/>
        <w:jc w:val="center"/>
      </w:pPr>
      <w:r>
        <w:rPr>
          <w:rFonts w:ascii="Calibri" w:cs="Calibri" w:eastAsia="Calibri" w:hAnsi="Calibri"/>
          <w:i/>
          <w:iCs/>
          <w:color w:val="6E7480"/>
          <w:sz w:val="19"/>
          <w:szCs w:val="19"/>
        </w:rPr>
        <w:t xml:space="preserve">Moving personal data between UAE regimes and abroad</w:t>
      </w:r>
    </w:p>
    <w:p>
      <w:pPr>
        <w:spacing w:after="180" w:before="0" w:line="276"/>
        <w:jc w:val="both"/>
      </w:pPr>
      <w:r>
        <w:rPr>
          <w:rFonts w:ascii="Calibri" w:cs="Calibri" w:eastAsia="Calibri" w:hAnsi="Calibri"/>
          <w:i/>
          <w:iCs/>
          <w:color w:val="6E7480"/>
          <w:sz w:val="21"/>
          <w:szCs w:val="21"/>
        </w:rPr>
        <w:t xml:space="preserve">The UAE has three data protection regimes and they do not treat each other as equivalent. Moving personal data from a DIFC company to its own mainland sister company is a </w:t>
      </w:r>
      <w:r>
        <w:rPr>
          <w:rFonts w:ascii="Calibri" w:cs="Calibri" w:eastAsia="Calibri" w:hAnsi="Calibri"/>
          <w:b/>
          <w:bCs/>
          <w:i/>
          <w:iCs/>
          <w:color w:val="6E7480"/>
          <w:sz w:val="21"/>
          <w:szCs w:val="21"/>
        </w:rPr>
        <w:t xml:space="preserve">restricted transfer</w:t>
      </w:r>
      <w:r>
        <w:rPr>
          <w:rFonts w:ascii="Calibri" w:cs="Calibri" w:eastAsia="Calibri" w:hAnsi="Calibri"/>
          <w:i/>
          <w:iCs/>
          <w:color w:val="6E7480"/>
          <w:sz w:val="21"/>
          <w:szCs w:val="21"/>
        </w:rPr>
        <w:t xml:space="preserve"> requiring safeguards, because the mainland is not on the DIFC adequacy list. Groups do this daily without documenting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Transferring 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Its 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 — name it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Receiving entity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Its jurisdiction or country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Relationship</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[Group company / Processor / Independent controller / Cloud provider]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transferred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[CATEGORIES]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Special or sensitive categories?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identify]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Volume and frequency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Purpose of the transfer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Mechanism relied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[Adequacy / Contractual safeguards / Derogation]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Assessed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 due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ESTABLISH WHICH REGIME GOVERNS THE TRANSFER</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rules that apply are those of the </w:t>
      </w:r>
      <w:r>
        <w:rPr>
          <w:rFonts w:ascii="Calibri" w:cs="Calibri" w:eastAsia="Calibri" w:hAnsi="Calibri"/>
          <w:b/>
          <w:bCs/>
          <w:sz w:val="21"/>
          <w:szCs w:val="21"/>
        </w:rPr>
        <w:t xml:space="preserve">exporting</w:t>
      </w:r>
      <w:r>
        <w:rPr>
          <w:rFonts w:ascii="Calibri" w:cs="Calibri" w:eastAsia="Calibri" w:hAnsi="Calibri"/>
          <w:sz w:val="21"/>
          <w:szCs w:val="21"/>
        </w:rPr>
        <w:t xml:space="preserve"> entity’s jurisdiction. Establish that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3855"/>
        <w:gridCol w:w="2699"/>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Exporting entity</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Governing law</w:t>
            </w:r>
          </w:p>
        </w:tc>
        <w:tc>
          <w:tcPr>
            <w:tcW w:type="dxa" w:w="269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Regulator</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mainland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Decree-Law 45/2021 (PDPL)</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Data Office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Free zone without its own data law</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Federal PDPL</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UAE Data Office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 Data Protection Law 5/2020</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 Commissioner</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ADGM</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ADGM Data Protection Regulations 2021</w:t>
            </w:r>
          </w:p>
        </w:tc>
        <w:tc>
          <w:tcPr>
            <w:tcW w:type="dxa" w:w="269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ADGM Office of Data Protection</w:t>
            </w:r>
          </w:p>
        </w:tc>
      </w:tr>
    </w:tbl>
    <w:p>
      <w:pPr>
        <w:spacing w:after="140"/>
      </w:pP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Where data moves in both directions between two entities, there are two transfers and each is assessed under its own exporting regime. They may reach different answers.</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2. TRANSFER MATRIX</w:t>
      </w:r>
    </w:p>
    <w:p>
      <w:pPr>
        <w:spacing w:after="260"/>
        <w:jc w:val="center"/>
      </w:pPr>
      <w:r>
        <w:rPr>
          <w:rFonts w:ascii="Calibri" w:cs="Calibri" w:eastAsia="Calibri" w:hAnsi="Calibri"/>
          <w:i/>
          <w:iCs/>
          <w:color w:val="6E7480"/>
          <w:sz w:val="19"/>
          <w:szCs w:val="19"/>
        </w:rPr>
        <w:t xml:space="preserve">Which combinations are restricted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2105"/>
        <w:gridCol w:w="2556"/>
        <w:gridCol w:w="2255"/>
        <w:gridCol w:w="2105"/>
        <w:gridCol w:w="2105"/>
        <w:gridCol w:w="1954"/>
        <w:gridCol w:w="1958"/>
      </w:tblGrid>
      <w:tr>
        <w:trPr>
          <w:cantSplit/>
          <w:tblHeader/>
        </w:trPr>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From ↓ / To →</w:t>
            </w:r>
          </w:p>
        </w:tc>
        <w:tc>
          <w:tcPr>
            <w:tcW w:type="dxa" w:w="25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UAE mainland</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Free zone (no own law)</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DIFC</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ADGM</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Adequate country</w:t>
            </w:r>
          </w:p>
        </w:tc>
        <w:tc>
          <w:tcPr>
            <w:tcW w:type="dxa" w:w="19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Non-adequate country</w:t>
            </w:r>
          </w:p>
        </w:tc>
      </w:tr>
      <w:tr>
        <w:trPr>
          <w:cantSplit/>
        </w:trPr>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UAE mainland</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Domestic — PDPL applies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Domestic — PDPL applies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Assess</w:t>
            </w:r>
            <w:r>
              <w:rPr>
                <w:rFonts w:ascii="Calibri" w:cs="Calibri" w:eastAsia="Calibri" w:hAnsi="Calibri"/>
                <w:sz w:val="15"/>
                <w:szCs w:val="15"/>
              </w:rPr>
              <w:t xml:space="preserve"> — separate jurisdiction</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Assess</w:t>
            </w:r>
            <w:r>
              <w:rPr>
                <w:rFonts w:ascii="Calibri" w:cs="Calibri" w:eastAsia="Calibri" w:hAnsi="Calibri"/>
                <w:sz w:val="15"/>
                <w:szCs w:val="15"/>
              </w:rPr>
              <w:t xml:space="preserve"> — separate jurisdiction</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Permitted — record the basis</w:t>
            </w:r>
          </w:p>
        </w:tc>
        <w:tc>
          <w:tcPr>
            <w:tcW w:type="dxa" w:w="19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Safeguards or derogation</w:t>
            </w:r>
          </w:p>
        </w:tc>
      </w:tr>
      <w:tr>
        <w:trPr>
          <w:cantSplit/>
        </w:trPr>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Free zone (no own law)</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Domestic</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Domestic</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Assess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Assess</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Permitted — record the basis</w:t>
            </w:r>
          </w:p>
        </w:tc>
        <w:tc>
          <w:tcPr>
            <w:tcW w:type="dxa" w:w="19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Safeguards or derogation</w:t>
            </w:r>
          </w:p>
        </w:tc>
      </w:tr>
      <w:tr>
        <w:trPr>
          <w:cantSplit/>
        </w:trPr>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DIFC</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RESTRICTED — mainland is not on the DIFC adequacy list</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RESTRICTED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Domestic</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Check the adequacy list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Permitted if on the DIFC list</w:t>
            </w:r>
          </w:p>
        </w:tc>
        <w:tc>
          <w:tcPr>
            <w:tcW w:type="dxa" w:w="19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Safeguards or derogation</w:t>
            </w:r>
          </w:p>
        </w:tc>
      </w:tr>
      <w:tr>
        <w:trPr>
          <w:cantSplit/>
        </w:trPr>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ADGM</w:t>
            </w:r>
          </w:p>
        </w:tc>
        <w:tc>
          <w:tcPr>
            <w:tcW w:type="dxa" w:w="25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Assess — check the ADGM adequacy list</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Assess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Check the list</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Domestic</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Permitted if on the ADGM list</w:t>
            </w:r>
          </w:p>
        </w:tc>
        <w:tc>
          <w:tcPr>
            <w:tcW w:type="dxa" w:w="195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Safeguards or derogation</w:t>
            </w:r>
          </w:p>
        </w:tc>
      </w:tr>
    </w:tbl>
    <w:p>
      <w:pPr>
        <w:spacing w:after="140"/>
      </w:pPr>
    </w:p>
    <w:p>
      <w:pPr>
        <w:spacing w:after="140" w:before="0" w:line="276"/>
        <w:jc w:val="both"/>
      </w:pPr>
      <w:r>
        <w:rPr>
          <w:rFonts w:ascii="Calibri" w:cs="Calibri" w:eastAsia="Calibri" w:hAnsi="Calibri"/>
          <w:i/>
          <w:iCs/>
          <w:sz w:val="21"/>
          <w:szCs w:val="21"/>
        </w:rPr>
        <w:t xml:space="preserve">Each regime maintains its own adequacy list and they do not match. Verify the current list for the exporting jurisdiction rather than assuming a country appears on all three.</w:t>
      </w:r>
    </w:p>
    <w:p>
      <w:pPr>
        <w:spacing w:after="240" w:before="240"/>
        <w:jc w:val="center"/>
      </w:pPr>
      <w:r>
        <w:rPr>
          <w:rFonts w:ascii="Calibri" w:cs="Calibri" w:eastAsia="Calibri" w:hAnsi="Calibri"/>
          <w:b/>
          <w:bCs/>
          <w:color w:val="14161B"/>
          <w:spacing w:val="12"/>
          <w:sz w:val="28"/>
          <w:szCs w:val="28"/>
        </w:rPr>
        <w:t xml:space="preserve">3. CHOOSING A MECHANISM</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2406"/>
        <w:gridCol w:w="3609"/>
        <w:gridCol w:w="4511"/>
        <w:gridCol w:w="4512"/>
      </w:tblGrid>
      <w:tr>
        <w:trPr>
          <w:cantSplit/>
          <w:tblHeader/>
        </w:trPr>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Mechanism</w:t>
            </w:r>
          </w:p>
        </w:tc>
        <w:tc>
          <w:tcPr>
            <w:tcW w:type="dxa" w:w="36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When available</w:t>
            </w:r>
          </w:p>
        </w:tc>
        <w:tc>
          <w:tcPr>
            <w:tcW w:type="dxa" w:w="45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What is required</w:t>
            </w:r>
          </w:p>
        </w:tc>
        <w:tc>
          <w:tcPr>
            <w:tcW w:type="dxa" w:w="45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Suitable for</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Adequacy</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Destination is on the exporting regime’s adequacy list</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Record the finding and the date checked</w:t>
            </w:r>
          </w:p>
        </w:tc>
        <w:tc>
          <w:tcPr>
            <w:tcW w:type="dxa" w:w="451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Routine transfers to listed countries</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Standard contractual clauses</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Generally available</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Execute the applicable clauses; assess whether local law in the destination undermines them</w:t>
            </w:r>
          </w:p>
        </w:tc>
        <w:tc>
          <w:tcPr>
            <w:tcW w:type="dxa" w:w="451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Most group and vendor transfers</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Binding corporate rules</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Approved by the regulator</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Formal approval process</w:t>
            </w:r>
          </w:p>
        </w:tc>
        <w:tc>
          <w:tcPr>
            <w:tcW w:type="dxa" w:w="451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Large groups with regular intra-group flows</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Explicit consent</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Data subject consents to this transfer, informed of the risks</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Evidence of specific, informed consent; withdrawable</w:t>
            </w:r>
          </w:p>
        </w:tc>
        <w:tc>
          <w:tcPr>
            <w:tcW w:type="dxa" w:w="451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Weak for routine flows</w:t>
            </w:r>
            <w:r>
              <w:rPr>
                <w:rFonts w:ascii="Calibri" w:cs="Calibri" w:eastAsia="Calibri" w:hAnsi="Calibri"/>
                <w:sz w:val="15"/>
                <w:szCs w:val="15"/>
              </w:rPr>
              <w:t xml:space="preserve"> — consent can be withdrawn</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Contractual necessity</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Transfer necessary for a contract with, or in the interest of, the data subject</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Document the necessity</w:t>
            </w:r>
          </w:p>
        </w:tc>
        <w:tc>
          <w:tcPr>
            <w:tcW w:type="dxa" w:w="451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One-off, not systematic transfers</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Legal claims</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Establishment, exercise or defence of legal claims</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Document the claim</w:t>
            </w:r>
          </w:p>
        </w:tc>
        <w:tc>
          <w:tcPr>
            <w:tcW w:type="dxa" w:w="451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Litigation and disputes</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Vital interests / public interest</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Narrow statutory grounds</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Document the ground</w:t>
            </w:r>
          </w:p>
        </w:tc>
        <w:tc>
          <w:tcPr>
            <w:tcW w:type="dxa" w:w="451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Emergencies; rarely routine</w:t>
            </w:r>
          </w:p>
        </w:tc>
      </w:tr>
      <w:tr>
        <w:trPr>
          <w:cantSplit/>
        </w:trPr>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Regulatory approval</w:t>
            </w:r>
          </w:p>
        </w:tc>
        <w:tc>
          <w:tcPr>
            <w:tcW w:type="dxa" w:w="360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Where the regime provides for it</w:t>
            </w:r>
          </w:p>
        </w:tc>
        <w:tc>
          <w:tcPr>
            <w:tcW w:type="dxa" w:w="451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Application to the regulator</w:t>
            </w:r>
          </w:p>
        </w:tc>
        <w:tc>
          <w:tcPr>
            <w:tcW w:type="dxa" w:w="4512"/>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Where no other route works</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4. ASSESSMENT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047"/>
        <w:gridCol w:w="2891"/>
        <w:gridCol w:w="2315"/>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Question</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Answer</w:t>
            </w:r>
          </w:p>
        </w:tc>
        <w:tc>
          <w:tcPr>
            <w:tcW w:type="dxa" w:w="231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Which entity is exporting, and under which regime?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Determines the rules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 destination in a different jurisdiction for these purposes?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DIFC to mainland counts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What categories of data are transferred?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2315"/>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Does it include special or sensitive categories?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Raises the standard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How many data subjects, and how often?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Volume affects risk</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 transfer necessary for the stated purpose?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Could less data achieve it?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 destination on the exporting regime’s adequacy list?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r>
              <w:rPr>
                <w:rFonts w:ascii="Calibri" w:cs="Calibri" w:eastAsia="Calibri" w:hAnsi="Calibri"/>
                <w:sz w:val="16"/>
                <w:szCs w:val="16"/>
              </w:rPr>
              <w:t xml:space="preserve"> — checked </w:t>
            </w:r>
            <w:r>
              <w:rPr>
                <w:rFonts w:ascii="Calibri" w:cs="Calibri" w:eastAsia="Calibri" w:hAnsi="Calibri"/>
                <w:b/>
                <w:bCs/>
                <w:sz w:val="16"/>
                <w:szCs w:val="16"/>
              </w:rPr>
              <w:t xml:space="preserve">[DATE]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Lists differ between regimes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If not, which mechanism applies?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See Section 3</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Are the safeguards executed and held?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 clause not signed is not a safeguard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Could law in the destination compel disclosure and undermine the safeguards?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[ASSESSMENT]</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Consider government access powers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What supplementary measures apply — encryption, pseudonymisation, access control?</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2315"/>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there onward transfer beyond the recipient?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Sub-processors and cloud regions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Have data subjects been told about the transfer in the privacy notice?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Transparency obligation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 the transfer recorded in the transfer register?</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2315"/>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When is this assessment reviewed?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231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 change of destination, vendor or law</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Conclusion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[Permitted on the basis of ______ / Not permitted without ______]</w:t>
            </w:r>
          </w:p>
        </w:tc>
        <w:tc>
          <w:tcPr>
            <w:tcW w:type="dxa" w:w="2315"/>
            <w:tcMar>
              <w:top w:type="dxa" w:w="70"/>
              <w:left w:type="dxa" w:w="100"/>
              <w:bottom w:type="dxa" w:w="70"/>
              <w:right w:type="dxa" w:w="100"/>
            </w:tcMar>
            <w:vAlign w:val="center"/>
          </w:tcPr>
          <w:p>
            <w:pPr>
              <w:spacing w:after="0" w:line="240"/>
              <w:jc w:val="left"/>
            </w:pPr>
          </w:p>
        </w:tc>
      </w:tr>
    </w:tbl>
    <w:p>
      <w:pPr>
        <w:spacing w:after="160"/>
      </w:pPr>
    </w:p>
    <w:p>
      <w:pPr>
        <w:keepNext/>
        <w:spacing w:after="120" w:before="280"/>
        <w:outlineLvl w:val="0"/>
      </w:pPr>
      <w:r>
        <w:rPr>
          <w:rFonts w:ascii="Calibri" w:cs="Calibri" w:eastAsia="Calibri" w:hAnsi="Calibri"/>
          <w:b/>
          <w:bCs/>
          <w:color w:val="14161B"/>
          <w:sz w:val="22"/>
          <w:szCs w:val="22"/>
        </w:rPr>
        <w:t xml:space="preserve">5. TRANSFER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349"/>
        <w:gridCol w:w="1349"/>
        <w:gridCol w:w="1252"/>
        <w:gridCol w:w="1445"/>
        <w:gridCol w:w="867"/>
        <w:gridCol w:w="1252"/>
        <w:gridCol w:w="867"/>
        <w:gridCol w:w="872"/>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From</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To</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Country/zone</w:t>
            </w:r>
          </w:p>
        </w:tc>
        <w:tc>
          <w:tcPr>
            <w:tcW w:type="dxa" w:w="144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Data</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Sensitive</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Mechanism</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Executed</w:t>
            </w:r>
          </w:p>
        </w:tc>
        <w:tc>
          <w:tcPr>
            <w:tcW w:type="dxa" w:w="87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Reviewed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[ENTITY]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[ENTITY]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[CATEGORIES]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[MECHANISM]</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[ENTITY]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[ENTITY]</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[CATEGORIES]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[MECHANISM]</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[ENTITY]</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[Cloud provider]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[Region]</w:t>
            </w:r>
          </w:p>
        </w:tc>
        <w:tc>
          <w:tcPr>
            <w:tcW w:type="dxa" w:w="144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[CATEGORIES]</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[MECHANISM]</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87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6. COMMON SITUATIONS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Situation</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Assessment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DIFC entity uses a mainland payroll bureau</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Restricted transfer.</w:t>
            </w:r>
            <w:r>
              <w:rPr>
                <w:rFonts w:ascii="Calibri" w:cs="Calibri" w:eastAsia="Calibri" w:hAnsi="Calibri"/>
                <w:sz w:val="17"/>
                <w:szCs w:val="17"/>
              </w:rPr>
              <w:t xml:space="preserve"> Mainland is not adequate for DIFC. Safeguards required in the processor agreement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 entity uses a cloud provider hosted in Europe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outside the UAE. Check the destination against the federal position and record the basis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Group HR system hosted for all entities in one place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Multiple transfers</w:t>
            </w:r>
            <w:r>
              <w:rPr>
                <w:rFonts w:ascii="Calibri" w:cs="Calibri" w:eastAsia="Calibri" w:hAnsi="Calibri"/>
                <w:sz w:val="17"/>
                <w:szCs w:val="17"/>
              </w:rPr>
              <w:t xml:space="preserve">, each assessed under its own exporting regime. The DIFC entity’s transfer is the one most likely to need work</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Mainland entity shares customer data with a DIFC affiliate for analytics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from mainland to DIFC — assess under the federal regime, and consider whether DIFC rules bind the recipient</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records sent to an overseas parent for group reporting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outside the UAE. Consider whether aggregated or pseudonymised data would suffice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Support ticket accessed by an engineer overseas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Still a transfer.</w:t>
            </w:r>
            <w:r>
              <w:rPr>
                <w:rFonts w:ascii="Calibri" w:cs="Calibri" w:eastAsia="Calibri" w:hAnsi="Calibri"/>
                <w:sz w:val="17"/>
                <w:szCs w:val="17"/>
              </w:rPr>
              <w:t xml:space="preserve"> Remote access to data held in the UAE counts; it is not only about copying files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exporting jurisdiction sets the rules</w:t>
      </w:r>
    </w:p>
    <w:p>
      <w:pPr>
        <w:spacing w:after="60" w:line="264"/>
        <w:jc w:val="both"/>
      </w:pPr>
      <w:r>
        <w:rPr>
          <w:rFonts w:ascii="Calibri" w:cs="Calibri" w:eastAsia="Calibri" w:hAnsi="Calibri"/>
          <w:sz w:val="19"/>
          <w:szCs w:val="19"/>
        </w:rPr>
        <w:t xml:space="preserve">It is the law of the entity sending the data that governs the transfer, not the law of the recipient. In a group with mainland, free zone and DIFC entities, the same flow can be unrestricted in one direction and restricted in the other.</w:t>
      </w:r>
    </w:p>
    <w:p>
      <w:pPr>
        <w:keepNext/>
        <w:spacing w:after="40" w:before="140"/>
      </w:pPr>
      <w:r>
        <w:rPr>
          <w:rFonts w:ascii="Calibri" w:cs="Calibri" w:eastAsia="Calibri" w:hAnsi="Calibri"/>
          <w:b/>
          <w:bCs/>
          <w:color w:val="14161B"/>
          <w:sz w:val="20"/>
          <w:szCs w:val="20"/>
        </w:rPr>
        <w:t xml:space="preserve">DIFC to mainland is the one that catches groups</w:t>
      </w:r>
    </w:p>
    <w:p>
      <w:pPr>
        <w:spacing w:after="60" w:line="264"/>
        <w:jc w:val="both"/>
      </w:pPr>
      <w:r>
        <w:rPr>
          <w:rFonts w:ascii="Calibri" w:cs="Calibri" w:eastAsia="Calibri" w:hAnsi="Calibri"/>
          <w:sz w:val="19"/>
          <w:szCs w:val="19"/>
        </w:rPr>
        <w:t xml:space="preserve">The UAE mainland is not on the DIFC adequacy list. A DIFC company sending personal data to its own mainland affiliate, to a mainland payroll provider, or to a mainland bank is making a restricted transfer that needs contractual safeguards or a derogation. This happens constantly and is almost never documented.</w:t>
      </w:r>
    </w:p>
    <w:p>
      <w:pPr>
        <w:keepNext/>
        <w:spacing w:after="40" w:before="140"/>
      </w:pPr>
      <w:r>
        <w:rPr>
          <w:rFonts w:ascii="Calibri" w:cs="Calibri" w:eastAsia="Calibri" w:hAnsi="Calibri"/>
          <w:b/>
          <w:bCs/>
          <w:color w:val="14161B"/>
          <w:sz w:val="20"/>
          <w:szCs w:val="20"/>
        </w:rPr>
        <w:t xml:space="preserve">The three adequacy lists do not match</w:t>
      </w:r>
    </w:p>
    <w:p>
      <w:pPr>
        <w:spacing w:after="60" w:line="264"/>
        <w:jc w:val="both"/>
      </w:pPr>
      <w:r>
        <w:rPr>
          <w:rFonts w:ascii="Calibri" w:cs="Calibri" w:eastAsia="Calibri" w:hAnsi="Calibri"/>
          <w:sz w:val="19"/>
          <w:szCs w:val="19"/>
        </w:rPr>
        <w:t xml:space="preserve">Each regime maintains its own list. A country adequate for DIFC purposes may not be treated the same way under the federal regime, and ADGM maintains its own position again. Check the list for the exporting jurisdiction and record the date checked, because the lists change.</w:t>
      </w:r>
    </w:p>
    <w:p>
      <w:pPr>
        <w:keepNext/>
        <w:spacing w:after="40" w:before="140"/>
      </w:pPr>
      <w:r>
        <w:rPr>
          <w:rFonts w:ascii="Calibri" w:cs="Calibri" w:eastAsia="Calibri" w:hAnsi="Calibri"/>
          <w:b/>
          <w:bCs/>
          <w:color w:val="14161B"/>
          <w:sz w:val="20"/>
          <w:szCs w:val="20"/>
        </w:rPr>
        <w:t xml:space="preserve">Remote access is a transfer</w:t>
      </w:r>
    </w:p>
    <w:p>
      <w:pPr>
        <w:spacing w:after="60" w:line="264"/>
        <w:jc w:val="both"/>
      </w:pPr>
      <w:r>
        <w:rPr>
          <w:rFonts w:ascii="Calibri" w:cs="Calibri" w:eastAsia="Calibri" w:hAnsi="Calibri"/>
          <w:sz w:val="19"/>
          <w:szCs w:val="19"/>
        </w:rPr>
        <w:t xml:space="preserve">Personal data does not have to be copied to be transferred. An engineer, support agent or administrator outside the UAE who can view or access the data is receiving it. Support arrangements and follow-the-sun helpdesks are transfers even where the data never leaves the UAE server.</w:t>
      </w:r>
    </w:p>
    <w:p>
      <w:pPr>
        <w:keepNext/>
        <w:spacing w:after="40" w:before="140"/>
      </w:pPr>
      <w:r>
        <w:rPr>
          <w:rFonts w:ascii="Calibri" w:cs="Calibri" w:eastAsia="Calibri" w:hAnsi="Calibri"/>
          <w:b/>
          <w:bCs/>
          <w:color w:val="14161B"/>
          <w:sz w:val="20"/>
          <w:szCs w:val="20"/>
        </w:rPr>
        <w:t xml:space="preserve">Consent is a weak basis for routine flows</w:t>
      </w:r>
    </w:p>
    <w:p>
      <w:pPr>
        <w:spacing w:after="60" w:line="264"/>
        <w:jc w:val="both"/>
      </w:pPr>
      <w:r>
        <w:rPr>
          <w:rFonts w:ascii="Calibri" w:cs="Calibri" w:eastAsia="Calibri" w:hAnsi="Calibri"/>
          <w:sz w:val="19"/>
          <w:szCs w:val="19"/>
        </w:rPr>
        <w:t xml:space="preserve">Explicit consent works for a one-off transfer where the individual genuinely has a choice. It is a poor foundation for systematic operational flows, because it can be withdrawn at any time and the flow then has no basis. Use contractual safeguards for anything recurring.</w:t>
      </w:r>
    </w:p>
    <w:p>
      <w:pPr>
        <w:keepNext/>
        <w:spacing w:after="40" w:before="140"/>
      </w:pPr>
      <w:r>
        <w:rPr>
          <w:rFonts w:ascii="Calibri" w:cs="Calibri" w:eastAsia="Calibri" w:hAnsi="Calibri"/>
          <w:b/>
          <w:bCs/>
          <w:color w:val="14161B"/>
          <w:sz w:val="20"/>
          <w:szCs w:val="20"/>
        </w:rPr>
        <w:t xml:space="preserve">Signing the clauses is not the whole job</w:t>
      </w:r>
    </w:p>
    <w:p>
      <w:pPr>
        <w:spacing w:after="60" w:line="264"/>
        <w:jc w:val="both"/>
      </w:pPr>
      <w:r>
        <w:rPr>
          <w:rFonts w:ascii="Calibri" w:cs="Calibri" w:eastAsia="Calibri" w:hAnsi="Calibri"/>
          <w:sz w:val="19"/>
          <w:szCs w:val="19"/>
        </w:rPr>
        <w:t xml:space="preserve">Standard contractual clauses require an assessment of whether law in the destination — particularly government access powers — would prevent the recipient honouring them. Where it might, supplementary measures such as encryption with keys held locally may be needed.</w:t>
      </w:r>
    </w:p>
    <w:p>
      <w:pPr>
        <w:keepNext/>
        <w:spacing w:after="40" w:before="140"/>
      </w:pPr>
      <w:r>
        <w:rPr>
          <w:rFonts w:ascii="Calibri" w:cs="Calibri" w:eastAsia="Calibri" w:hAnsi="Calibri"/>
          <w:b/>
          <w:bCs/>
          <w:color w:val="14161B"/>
          <w:sz w:val="20"/>
          <w:szCs w:val="20"/>
        </w:rPr>
        <w:t xml:space="preserve">Follow the onward transfers</w:t>
      </w:r>
    </w:p>
    <w:p>
      <w:pPr>
        <w:spacing w:after="60" w:line="264"/>
        <w:jc w:val="both"/>
      </w:pPr>
      <w:r>
        <w:rPr>
          <w:rFonts w:ascii="Calibri" w:cs="Calibri" w:eastAsia="Calibri" w:hAnsi="Calibri"/>
          <w:sz w:val="19"/>
          <w:szCs w:val="19"/>
        </w:rPr>
        <w:t xml:space="preserve">A vendor in an adequate country using a sub-processor elsewhere creates a second transfer. Cloud services in particular distribute processing across regions. Ask where the data actually sits and who can reach it, not where the vendor is incorporated.</w:t>
      </w:r>
    </w:p>
    <w:p>
      <w:pPr>
        <w:keepNext/>
        <w:spacing w:after="40" w:before="140"/>
      </w:pPr>
      <w:r>
        <w:rPr>
          <w:rFonts w:ascii="Calibri" w:cs="Calibri" w:eastAsia="Calibri" w:hAnsi="Calibri"/>
          <w:b/>
          <w:bCs/>
          <w:color w:val="14161B"/>
          <w:sz w:val="20"/>
          <w:szCs w:val="20"/>
        </w:rPr>
        <w:t xml:space="preserve">Assess necessity before mechanism</w:t>
      </w:r>
    </w:p>
    <w:p>
      <w:pPr>
        <w:spacing w:after="60" w:line="264"/>
        <w:jc w:val="both"/>
      </w:pPr>
      <w:r>
        <w:rPr>
          <w:rFonts w:ascii="Calibri" w:cs="Calibri" w:eastAsia="Calibri" w:hAnsi="Calibri"/>
          <w:sz w:val="19"/>
          <w:szCs w:val="19"/>
        </w:rPr>
        <w:t xml:space="preserve">Question 6 asks whether the transfer is necessary at all, and whether less data would achieve the purpose. Aggregated or pseudonymised data frequently serves group reporting perfectly well and removes the problem entirely.</w:t>
      </w:r>
    </w:p>
    <w:p>
      <w:pPr>
        <w:keepNext/>
        <w:spacing w:after="40" w:before="140"/>
      </w:pPr>
      <w:r>
        <w:rPr>
          <w:rFonts w:ascii="Calibri" w:cs="Calibri" w:eastAsia="Calibri" w:hAnsi="Calibri"/>
          <w:b/>
          <w:bCs/>
          <w:color w:val="14161B"/>
          <w:sz w:val="20"/>
          <w:szCs w:val="20"/>
        </w:rPr>
        <w:t xml:space="preserve">Tell people in the privacy notice</w:t>
      </w:r>
    </w:p>
    <w:p>
      <w:pPr>
        <w:spacing w:after="60" w:line="264"/>
        <w:jc w:val="both"/>
      </w:pPr>
      <w:r>
        <w:rPr>
          <w:rFonts w:ascii="Calibri" w:cs="Calibri" w:eastAsia="Calibri" w:hAnsi="Calibri"/>
          <w:sz w:val="19"/>
          <w:szCs w:val="19"/>
        </w:rPr>
        <w:t xml:space="preserve">Transparency is a separate obligation from lawfulness. A transfer with perfect safeguards that was never disclosed in the privacy notice still breaches the transparency requirement.</w:t>
      </w:r>
    </w:p>
    <w:p>
      <w:pPr>
        <w:keepNext/>
        <w:spacing w:after="40" w:before="140"/>
      </w:pPr>
      <w:r>
        <w:rPr>
          <w:rFonts w:ascii="Calibri" w:cs="Calibri" w:eastAsia="Calibri" w:hAnsi="Calibri"/>
          <w:b/>
          <w:bCs/>
          <w:color w:val="14161B"/>
          <w:sz w:val="20"/>
          <w:szCs w:val="20"/>
        </w:rPr>
        <w:t xml:space="preserve">Keep the register current</w:t>
      </w:r>
    </w:p>
    <w:p>
      <w:pPr>
        <w:spacing w:after="60" w:line="264"/>
        <w:jc w:val="both"/>
      </w:pPr>
      <w:r>
        <w:rPr>
          <w:rFonts w:ascii="Calibri" w:cs="Calibri" w:eastAsia="Calibri" w:hAnsi="Calibri"/>
          <w:sz w:val="19"/>
          <w:szCs w:val="19"/>
        </w:rPr>
        <w:t xml:space="preserve">The transfer register is what allows a regulator question to be answered in an afternoon rather than a fortnight. It also surfaces the flows nobody authorised — a new SaaS tool adopted by one team is usually discovered through the register rather than through a review.</w:t>
      </w:r>
    </w:p>
    <w:p>
      <w:pPr>
        <w:keepNext/>
        <w:spacing w:after="40" w:before="140"/>
      </w:pPr>
      <w:r>
        <w:rPr>
          <w:rFonts w:ascii="Calibri" w:cs="Calibri" w:eastAsia="Calibri" w:hAnsi="Calibri"/>
          <w:b/>
          <w:bCs/>
          <w:color w:val="14161B"/>
          <w:sz w:val="20"/>
          <w:szCs w:val="20"/>
        </w:rPr>
        <w:t xml:space="preserve">Review on change, not only on a calendar</w:t>
      </w:r>
    </w:p>
    <w:p>
      <w:pPr>
        <w:spacing w:after="60" w:line="264"/>
        <w:jc w:val="both"/>
      </w:pPr>
      <w:r>
        <w:rPr>
          <w:rFonts w:ascii="Calibri" w:cs="Calibri" w:eastAsia="Calibri" w:hAnsi="Calibri"/>
          <w:sz w:val="19"/>
          <w:szCs w:val="19"/>
        </w:rPr>
        <w:t xml:space="preserve">A new vendor, a changed cloud region, a group restructuring, or a change to an adequacy list all invalidate the assessment. Tie the review to those events as well as to an annual date.</w:t>
      </w:r>
    </w:p>
    <w:p>
      <w:pPr>
        <w:keepNext/>
        <w:spacing w:after="40" w:before="140"/>
      </w:pPr>
      <w:r>
        <w:rPr>
          <w:rFonts w:ascii="Calibri" w:cs="Calibri" w:eastAsia="Calibri" w:hAnsi="Calibri"/>
          <w:b/>
          <w:bCs/>
          <w:color w:val="14161B"/>
          <w:sz w:val="20"/>
          <w:szCs w:val="20"/>
        </w:rPr>
        <w:t xml:space="preserve">Sector rules may add restrictions</w:t>
      </w:r>
    </w:p>
    <w:p>
      <w:pPr>
        <w:spacing w:after="60" w:line="264"/>
        <w:jc w:val="both"/>
      </w:pPr>
      <w:r>
        <w:rPr>
          <w:rFonts w:ascii="Calibri" w:cs="Calibri" w:eastAsia="Calibri" w:hAnsi="Calibri"/>
          <w:sz w:val="19"/>
          <w:szCs w:val="19"/>
        </w:rPr>
        <w:t xml:space="preserve">Banking, healthcare and telecoms data are subject to sector legislation that may restrict transfer independently of the data protection regime. Compliance with the data protection analysis alone is not sufficient in a regulated sector.</w:t>
      </w:r>
    </w:p>
    <w:p>
      <w:pPr>
        <w:keepNext/>
        <w:spacing w:after="40" w:before="140"/>
      </w:pPr>
      <w:r>
        <w:rPr>
          <w:rFonts w:ascii="Calibri" w:cs="Calibri" w:eastAsia="Calibri" w:hAnsi="Calibri"/>
          <w:b/>
          <w:bCs/>
          <w:color w:val="14161B"/>
          <w:sz w:val="20"/>
          <w:szCs w:val="20"/>
        </w:rPr>
        <w:t xml:space="preserve">Document the reasoning, not just the conclusion</w:t>
      </w:r>
    </w:p>
    <w:p>
      <w:pPr>
        <w:spacing w:after="60" w:line="264"/>
        <w:jc w:val="both"/>
      </w:pPr>
      <w:r>
        <w:rPr>
          <w:rFonts w:ascii="Calibri" w:cs="Calibri" w:eastAsia="Calibri" w:hAnsi="Calibri"/>
          <w:sz w:val="19"/>
          <w:szCs w:val="19"/>
        </w:rPr>
        <w:t xml:space="preserve">A register entry saying "SCCs" is less useful than one recording what was assessed, what risks were identified and what measures were applied. The reasoning is what demonstrates accountability.</w:t>
      </w:r>
    </w:p>
    <w:p>
      <w:pPr>
        <w:keepNext/>
        <w:spacing w:after="40" w:before="140"/>
      </w:pPr>
      <w:r>
        <w:rPr>
          <w:rFonts w:ascii="Calibri" w:cs="Calibri" w:eastAsia="Calibri" w:hAnsi="Calibri"/>
          <w:b/>
          <w:bCs/>
          <w:color w:val="14161B"/>
          <w:sz w:val="20"/>
          <w:szCs w:val="20"/>
        </w:rPr>
        <w:t xml:space="preserve">Federal position is unsettled in part</w:t>
      </w:r>
    </w:p>
    <w:p>
      <w:pPr>
        <w:spacing w:after="60" w:line="264"/>
        <w:jc w:val="both"/>
      </w:pPr>
      <w:r>
        <w:rPr>
          <w:rFonts w:ascii="Calibri" w:cs="Calibri" w:eastAsia="Calibri" w:hAnsi="Calibri"/>
          <w:sz w:val="19"/>
          <w:szCs w:val="19"/>
        </w:rPr>
        <w:t xml:space="preserve">Aspects of the federal transfer regime depend on the PDPL Executive Regulations, whose status is reported inconsistently. Where the federal analysis is uncertain, apply contractual safeguards and document the approach rather than relying on an unconfirmed adequacy position.</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DIFC and ADGM positions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Adequacy lists, transfer mechanisms and the status of the federal PDPL Executive Regulations all change — verify the current position for the exporting jurisdiction with the relevant regulator or a UAE data protection adviser before relying on this assessment.</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2026-08-23T16:28:31.885Z</dcterms:created>
  <dcterms:modified xsi:type="dcterms:W3CDTF">2026-08-23T16:28:31.885Z</dcterms:modified>
</cp:coreProperties>
</file>

<file path=docProps/custom.xml><?xml version="1.0" encoding="utf-8"?>
<Properties xmlns="http://schemas.openxmlformats.org/officeDocument/2006/custom-properties" xmlns:vt="http://schemas.openxmlformats.org/officeDocument/2006/docPropsVTypes"/>
</file>