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CORPORATE TAX RETURN</w:t>
      </w:r>
    </w:p>
    <w:p>
      <w:pPr>
        <w:spacing w:after="260"/>
        <w:jc w:val="center"/>
      </w:pPr>
      <w:r>
        <w:rPr>
          <w:rFonts w:ascii="Calibri" w:cs="Calibri" w:eastAsia="Calibri" w:hAnsi="Calibri"/>
          <w:i/>
          <w:iCs/>
          <w:color w:val="6E7480"/>
          <w:sz w:val="19"/>
          <w:szCs w:val="19"/>
        </w:rPr>
        <w:t xml:space="preserve">Preparation, filing and the records behind it</w:t>
      </w:r>
    </w:p>
    <w:p>
      <w:pPr>
        <w:spacing w:after="180" w:before="0" w:line="276"/>
        <w:jc w:val="both"/>
      </w:pPr>
      <w:r>
        <w:rPr>
          <w:rFonts w:ascii="Calibri" w:cs="Calibri" w:eastAsia="Calibri" w:hAnsi="Calibri"/>
          <w:i/>
          <w:iCs/>
          <w:color w:val="6E7480"/>
          <w:sz w:val="21"/>
          <w:szCs w:val="21"/>
        </w:rPr>
        <w:t xml:space="preserve">Two things separate a straightforward filing from a difficult one. Whether the </w:t>
      </w:r>
      <w:r>
        <w:rPr>
          <w:rFonts w:ascii="Calibri" w:cs="Calibri" w:eastAsia="Calibri" w:hAnsi="Calibri"/>
          <w:b/>
          <w:bCs/>
          <w:i/>
          <w:iCs/>
          <w:color w:val="6E7480"/>
          <w:sz w:val="21"/>
          <w:szCs w:val="21"/>
        </w:rPr>
        <w:t xml:space="preserve">accounting records</w:t>
      </w:r>
      <w:r>
        <w:rPr>
          <w:rFonts w:ascii="Calibri" w:cs="Calibri" w:eastAsia="Calibri" w:hAnsi="Calibri"/>
          <w:i/>
          <w:iCs/>
          <w:color w:val="6E7480"/>
          <w:sz w:val="21"/>
          <w:szCs w:val="21"/>
        </w:rPr>
        <w:t xml:space="preserve"> are good enough to support the return, and whether a free zone entity can actually </w:t>
      </w:r>
      <w:r>
        <w:rPr>
          <w:rFonts w:ascii="Calibri" w:cs="Calibri" w:eastAsia="Calibri" w:hAnsi="Calibri"/>
          <w:b/>
          <w:bCs/>
          <w:i/>
          <w:iCs/>
          <w:color w:val="6E7480"/>
          <w:sz w:val="21"/>
          <w:szCs w:val="21"/>
        </w:rPr>
        <w:t xml:space="preserve">evidence its qualifying income analysis</w:t>
      </w:r>
      <w:r>
        <w:rPr>
          <w:rFonts w:ascii="Calibri" w:cs="Calibri" w:eastAsia="Calibri" w:hAnsi="Calibri"/>
          <w:i/>
          <w:iCs/>
          <w:color w:val="6E7480"/>
          <w:sz w:val="21"/>
          <w:szCs w:val="21"/>
        </w:rPr>
        <w:t xml:space="preserve"> rather than assert it. Both are decided months before the return is due.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TRN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name it]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Tax period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Return due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Payment due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Accounting standard applied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[IFRS / IFRS for SMEs]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Revenue for the period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Claiming QFZP status?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Small Business Relief elected?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w:t>
            </w:r>
            <w:r>
              <w:rPr>
                <w:rFonts w:ascii="Calibri" w:cs="Calibri" w:eastAsia="Calibri" w:hAnsi="Calibri"/>
                <w:i/>
                <w:iCs/>
                <w:sz w:val="19"/>
                <w:szCs w:val="19"/>
              </w:rPr>
              <w:t xml:space="preserve">available for periods ending on or before 31 Dec 2026</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Related party transactions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Audited financial statements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[Required / Prepared]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Prepared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reviewed by </w:t>
            </w:r>
            <w:r>
              <w:rPr>
                <w:rFonts w:ascii="Calibri" w:cs="Calibri" w:eastAsia="Calibri" w:hAnsi="Calibri"/>
                <w:b/>
                <w:bCs/>
                <w:sz w:val="19"/>
                <w:szCs w:val="19"/>
              </w:rPr>
              <w:t xml:space="preserve">[NAME]</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THE PERIOD ENDS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855"/>
        <w:gridCol w:w="5398"/>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Task</w:t>
            </w:r>
          </w:p>
        </w:tc>
        <w:tc>
          <w:tcPr>
            <w:tcW w:type="dxa" w:w="53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 it must happen early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Accounting records maintained to the applicable standard</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return is built from them; poor records cannot be fixed at filing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Revenue analysed between qualifying and non-qualifying</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Free zone — a de minimis breach found at year end cannot be prevented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Related party transactions identified and priced</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Arm’s length support takes time to assemble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Substance in the free zone documented</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People, premises, expenditure, core activity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Audit arrangements confirmed where required</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QFZP claim requires audited statements under current rules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Exempt income and reliefs identified</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Participation and other exemptions have conditions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Disallowable expenditure flagged as it arises</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Entertainment, fines, and non-business costs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Interest capacity considered where borrowings are material</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Deduction limitation rules may apply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Losses tracked with the year they arose</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Carry-forward has conditions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Group position considered — tax group, transfers, Pillar Two</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Elections and thresholds</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Task 2 is the one with a five-period consequence. Analysing revenue only at year end means a free zone entity discovers a de minimis breach when it can no longer decline or restructure the offending engagement.</w:t>
      </w:r>
    </w:p>
    <w:p>
      <w:pPr>
        <w:keepNext/>
        <w:spacing w:after="120" w:before="280"/>
        <w:outlineLvl w:val="0"/>
      </w:pPr>
      <w:r>
        <w:rPr>
          <w:rFonts w:ascii="Calibri" w:cs="Calibri" w:eastAsia="Calibri" w:hAnsi="Calibri"/>
          <w:b/>
          <w:bCs/>
          <w:color w:val="14161B"/>
          <w:sz w:val="22"/>
          <w:szCs w:val="22"/>
        </w:rPr>
        <w:t xml:space="preserve">2. COMPUTATION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771"/>
        <w:gridCol w:w="5975"/>
        <w:gridCol w:w="2892"/>
      </w:tblGrid>
      <w:tr>
        <w:trPr>
          <w:cantSplit/>
          <w:tblHeader/>
        </w:trPr>
        <w:tc>
          <w:tcPr>
            <w:tcW w:type="dxa" w:w="77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Step</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Item</w:t>
            </w:r>
          </w:p>
        </w:tc>
        <w:tc>
          <w:tcPr>
            <w:tcW w:type="dxa" w:w="289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AED</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Accounting profit per the financial statements</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 expenditure not deductible — fines and penalties</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 entertainment expenditure disallowed in part</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 expenditure not incurred wholly for the business</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 interest disallowed under the limitation rules</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 transfer pricing adjustments</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 payments to connected persons above market value</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exempt income — </w:t>
            </w:r>
            <w:r>
              <w:rPr>
                <w:rFonts w:ascii="Calibri" w:cs="Calibri" w:eastAsia="Calibri" w:hAnsi="Calibri"/>
                <w:b/>
                <w:bCs/>
                <w:sz w:val="17"/>
                <w:szCs w:val="17"/>
              </w:rPr>
              <w:t xml:space="preserve">[dividends, participation, foreign PE]</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9</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other adjustments</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rPr>
          <w:cantSplit/>
        </w:trPr>
        <w:tc>
          <w:tcPr>
            <w:tcW w:type="dxa" w:w="771"/>
            <w:tcMar>
              <w:top w:type="dxa" w:w="70"/>
              <w:left w:type="dxa" w:w="100"/>
              <w:bottom w:type="dxa" w:w="70"/>
              <w:right w:type="dxa" w:w="100"/>
            </w:tcMar>
            <w:vAlign w:val="center"/>
          </w:tcPr>
          <w:p>
            <w:pPr>
              <w:spacing w:after="0" w:line="240"/>
              <w:jc w:val="center"/>
            </w:pP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Taxable income before losses</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10</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brought-forward losses used</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rPr>
          <w:cantSplit/>
        </w:trPr>
        <w:tc>
          <w:tcPr>
            <w:tcW w:type="dxa" w:w="771"/>
            <w:tcMar>
              <w:top w:type="dxa" w:w="70"/>
              <w:left w:type="dxa" w:w="100"/>
              <w:bottom w:type="dxa" w:w="70"/>
              <w:right w:type="dxa" w:w="100"/>
            </w:tcMar>
            <w:vAlign w:val="center"/>
          </w:tcPr>
          <w:p>
            <w:pPr>
              <w:spacing w:after="0" w:line="240"/>
              <w:jc w:val="center"/>
            </w:pP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Taxable income</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First AED 375,000 at 0%</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Balance at 9%</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Corporate tax payable</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Where Small Business Relief is elected, taxable income is treated as nil and the computation is not needed for that period — but the return is still filed and the election made. Where QFZP status applies, qualifying income is taxed at 0% and the AED 375,000 threshold does not apply to the non-qualifying balance.</w:t>
      </w:r>
    </w:p>
    <w:p>
      <w:pPr>
        <w:keepNext/>
        <w:spacing w:after="120" w:before="280"/>
        <w:outlineLvl w:val="0"/>
      </w:pPr>
      <w:r>
        <w:rPr>
          <w:rFonts w:ascii="Calibri" w:cs="Calibri" w:eastAsia="Calibri" w:hAnsi="Calibri"/>
          <w:b/>
          <w:bCs/>
          <w:color w:val="14161B"/>
          <w:sz w:val="22"/>
          <w:szCs w:val="22"/>
        </w:rPr>
        <w:t xml:space="preserve">3. FREE ZONE — EVIDENCING THE CLAIM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891"/>
        <w:gridCol w:w="6362"/>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Condition</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Evidence to hold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Adequate substance in the zone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Premises lease, headcount, payroll, expenditure, records of activity performed in the zone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Qualifying income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Revenue analysis by counterparty and activity, mapped to the qualifying activity list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 minimis not breached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working: non-qualifying revenue against the lower of AED 5m or 5% of total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Transfer pricing compliance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Documentation and disclosure for related party dealings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Audited financial statements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audit report itself</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election out of the regime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Records of elections made</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A QFZP claim asserted without evidence is the weakest position in UAE tax.</w:t>
      </w:r>
      <w:r>
        <w:rPr>
          <w:rFonts w:ascii="Calibri" w:cs="Calibri" w:eastAsia="Calibri" w:hAnsi="Calibri"/>
          <w:sz w:val="21"/>
          <w:szCs w:val="21"/>
        </w:rPr>
        <w:t xml:space="preserve"> The conditions are testable, the consequence of failing is five periods at 9%, and the analysis has to be capable of reconstruction years later.</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FILING CYCLE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819"/>
        <w:gridCol w:w="2698"/>
        <w:gridCol w:w="1736"/>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Timing</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Trial balance closed and reconciled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After period end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Financial statements prepared to the applicable standard</w:t>
            </w:r>
          </w:p>
        </w:tc>
        <w:tc>
          <w:tcPr>
            <w:tcW w:type="dxa" w:w="2698"/>
            <w:tcMar>
              <w:top w:type="dxa" w:w="70"/>
              <w:left w:type="dxa" w:w="100"/>
              <w:bottom w:type="dxa" w:w="70"/>
              <w:right w:type="dxa" w:w="100"/>
            </w:tcMar>
            <w:vAlign w:val="center"/>
          </w:tcPr>
          <w:p>
            <w:pPr>
              <w:spacing w:after="0" w:line="240"/>
              <w:jc w:val="left"/>
            </w:pP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Audit completed where required</w:t>
            </w:r>
          </w:p>
        </w:tc>
        <w:tc>
          <w:tcPr>
            <w:tcW w:type="dxa" w:w="2698"/>
            <w:tcMar>
              <w:top w:type="dxa" w:w="70"/>
              <w:left w:type="dxa" w:w="100"/>
              <w:bottom w:type="dxa" w:w="70"/>
              <w:right w:type="dxa" w:w="100"/>
            </w:tcMar>
            <w:vAlign w:val="center"/>
          </w:tcPr>
          <w:p>
            <w:pPr>
              <w:spacing w:after="0" w:line="240"/>
              <w:jc w:val="left"/>
            </w:pP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Tax computation prepared with supporting schedules</w:t>
            </w:r>
          </w:p>
        </w:tc>
        <w:tc>
          <w:tcPr>
            <w:tcW w:type="dxa" w:w="2698"/>
            <w:tcMar>
              <w:top w:type="dxa" w:w="70"/>
              <w:left w:type="dxa" w:w="100"/>
              <w:bottom w:type="dxa" w:w="70"/>
              <w:right w:type="dxa" w:w="100"/>
            </w:tcMar>
            <w:vAlign w:val="center"/>
          </w:tcPr>
          <w:p>
            <w:pPr>
              <w:spacing w:after="0" w:line="240"/>
              <w:jc w:val="left"/>
            </w:pP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Free zone: qualifying income analysis finalised</w:t>
            </w:r>
          </w:p>
        </w:tc>
        <w:tc>
          <w:tcPr>
            <w:tcW w:type="dxa" w:w="2698"/>
            <w:tcMar>
              <w:top w:type="dxa" w:w="70"/>
              <w:left w:type="dxa" w:w="100"/>
              <w:bottom w:type="dxa" w:w="70"/>
              <w:right w:type="dxa" w:w="100"/>
            </w:tcMar>
            <w:vAlign w:val="center"/>
          </w:tcPr>
          <w:p>
            <w:pPr>
              <w:spacing w:after="0" w:line="240"/>
              <w:jc w:val="left"/>
            </w:pP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pricing disclosure prepared</w:t>
            </w:r>
          </w:p>
        </w:tc>
        <w:tc>
          <w:tcPr>
            <w:tcW w:type="dxa" w:w="2698"/>
            <w:tcMar>
              <w:top w:type="dxa" w:w="70"/>
              <w:left w:type="dxa" w:w="100"/>
              <w:bottom w:type="dxa" w:w="70"/>
              <w:right w:type="dxa" w:w="100"/>
            </w:tcMar>
            <w:vAlign w:val="center"/>
          </w:tcPr>
          <w:p>
            <w:pPr>
              <w:spacing w:after="0" w:line="240"/>
              <w:jc w:val="left"/>
            </w:pP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Master file and local file where thresholds met</w:t>
            </w:r>
          </w:p>
        </w:tc>
        <w:tc>
          <w:tcPr>
            <w:tcW w:type="dxa" w:w="2698"/>
            <w:tcMar>
              <w:top w:type="dxa" w:w="70"/>
              <w:left w:type="dxa" w:w="100"/>
              <w:bottom w:type="dxa" w:w="70"/>
              <w:right w:type="dxa" w:w="100"/>
            </w:tcMar>
            <w:vAlign w:val="center"/>
          </w:tcPr>
          <w:p>
            <w:pPr>
              <w:spacing w:after="0" w:line="240"/>
              <w:jc w:val="left"/>
            </w:pP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Elections made — Small Business Relief, tax group, others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 the return</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Return reviewed by someone other than the preparer</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filing</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Return filed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By the due date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Tax paid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By the due date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Filing confirmation retained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filing</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Supporting records indexed and stored for </w:t>
            </w:r>
            <w:r>
              <w:rPr>
                <w:rFonts w:ascii="Calibri" w:cs="Calibri" w:eastAsia="Calibri" w:hAnsi="Calibri"/>
                <w:b/>
                <w:bCs/>
                <w:sz w:val="17"/>
                <w:szCs w:val="17"/>
              </w:rPr>
              <w:t xml:space="preserve">seven years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After filing</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Next period’s monitoring set up</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Step 9 is worth insisting on. A return prepared and filed by one person, with no independent read, is where arithmetic and classification errors survive to become penalties.</w:t>
      </w:r>
    </w:p>
    <w:p>
      <w:pPr>
        <w:keepNext/>
        <w:spacing w:after="120" w:before="280"/>
        <w:outlineLvl w:val="0"/>
      </w:pPr>
      <w:r>
        <w:rPr>
          <w:rFonts w:ascii="Calibri" w:cs="Calibri" w:eastAsia="Calibri" w:hAnsi="Calibri"/>
          <w:b/>
          <w:bCs/>
          <w:color w:val="14161B"/>
          <w:sz w:val="22"/>
          <w:szCs w:val="22"/>
        </w:rPr>
        <w:t xml:space="preserve">5. COMMON ERRORS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Error</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Consequence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registering because no tax was expected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Late registration penalty</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filing because Small Business Relief applies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return is still required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Assuming a free zone licence means 0%</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conditions decide it, not the licence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Analysing qualifying revenue only at year end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de minimis breach found too late to prevent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audited statements for a QFZP claim</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condition unmet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Ignoring transfer pricing on intercompany charges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Adjustment, and a QFZP condition failed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Treating connected person payments as ordinary expenses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Adjustment where above market value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Deducting fines, penalties and non-business costs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Adjustment on review</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Losing the working papers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Cannot defend the position years later</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Filing without an independent review</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Errors survive into a penalty</w:t>
            </w:r>
          </w:p>
        </w:tc>
      </w:tr>
    </w:tbl>
    <w:p>
      <w:pPr>
        <w:spacing w:after="160"/>
      </w:pPr>
    </w:p>
    <w:p>
      <w:pPr>
        <w:keepNext/>
        <w:spacing w:after="120" w:before="280"/>
        <w:outlineLvl w:val="0"/>
      </w:pPr>
      <w:r>
        <w:rPr>
          <w:rFonts w:ascii="Calibri" w:cs="Calibri" w:eastAsia="Calibri" w:hAnsi="Calibri"/>
          <w:b/>
          <w:bCs/>
          <w:color w:val="14161B"/>
          <w:sz w:val="22"/>
          <w:szCs w:val="22"/>
        </w:rPr>
        <w:t xml:space="preserve">6. RECORDS TO KEEP FOR SEVEN YEARS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7710"/>
        <w:gridCol w:w="1928"/>
      </w:tblGrid>
      <w:tr>
        <w:trPr>
          <w:cantSplit/>
          <w:tblHeader/>
        </w:trPr>
        <w:tc>
          <w:tcPr>
            <w:tcW w:type="dxa" w:w="771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w:t>
            </w:r>
          </w:p>
        </w:tc>
        <w:tc>
          <w:tcPr>
            <w:tcW w:type="dxa" w:w="192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Held</w:t>
            </w:r>
          </w:p>
        </w:tc>
      </w:tr>
      <w:tr>
        <w:trPr>
          <w:cantSplit/>
        </w:trPr>
        <w:tc>
          <w:tcPr>
            <w:tcW w:type="dxa" w:w="771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Financial statements and audit reports</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771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computation and supporting schedules</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771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Trial balance and general ledger</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771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Free zone qualifying income analysis and de minimis working</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771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Substance evidence — premises, payroll, activity records</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771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 pricing documentation and disclosures</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771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Intercompany agreements and evidence of services delivered</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771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Elections made and their basis</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771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Loss schedules by year of origin</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771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Correspondence with the Federal Tax Authority</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771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Filing confirmations and payment records</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File even where no tax is payable</w:t>
      </w:r>
    </w:p>
    <w:p>
      <w:pPr>
        <w:spacing w:after="60" w:line="264"/>
        <w:jc w:val="both"/>
      </w:pPr>
      <w:r>
        <w:rPr>
          <w:rFonts w:ascii="Calibri" w:cs="Calibri" w:eastAsia="Calibri" w:hAnsi="Calibri"/>
          <w:sz w:val="19"/>
          <w:szCs w:val="19"/>
        </w:rPr>
        <w:t xml:space="preserve">Registration and filing are separate from liability. A business below the threshold files. A business electing Small Business Relief files and makes the election in the return. A free zone entity claiming 0% files. Not filing because no tax is due is the most common first-cycle failure.</w:t>
      </w:r>
    </w:p>
    <w:p>
      <w:pPr>
        <w:keepNext/>
        <w:spacing w:after="40" w:before="140"/>
      </w:pPr>
      <w:r>
        <w:rPr>
          <w:rFonts w:ascii="Calibri" w:cs="Calibri" w:eastAsia="Calibri" w:hAnsi="Calibri"/>
          <w:b/>
          <w:bCs/>
          <w:color w:val="14161B"/>
          <w:sz w:val="20"/>
          <w:szCs w:val="20"/>
        </w:rPr>
        <w:t xml:space="preserve">The return is only as good as the records</w:t>
      </w:r>
    </w:p>
    <w:p>
      <w:pPr>
        <w:spacing w:after="60" w:line="264"/>
        <w:jc w:val="both"/>
      </w:pPr>
      <w:r>
        <w:rPr>
          <w:rFonts w:ascii="Calibri" w:cs="Calibri" w:eastAsia="Calibri" w:hAnsi="Calibri"/>
          <w:sz w:val="19"/>
          <w:szCs w:val="19"/>
        </w:rPr>
        <w:t xml:space="preserve">Accounting records maintained to the applicable standard through the year are what make the computation straightforward. Records assembled after the period ends produce a return that cannot be defended if examined, and the gaps cannot be retrofitted.</w:t>
      </w:r>
    </w:p>
    <w:p>
      <w:pPr>
        <w:keepNext/>
        <w:spacing w:after="40" w:before="140"/>
      </w:pPr>
      <w:r>
        <w:rPr>
          <w:rFonts w:ascii="Calibri" w:cs="Calibri" w:eastAsia="Calibri" w:hAnsi="Calibri"/>
          <w:b/>
          <w:bCs/>
          <w:color w:val="14161B"/>
          <w:sz w:val="20"/>
          <w:szCs w:val="20"/>
        </w:rPr>
        <w:t xml:space="preserve">Analyse qualifying revenue monthly, not at year end</w:t>
      </w:r>
    </w:p>
    <w:p>
      <w:pPr>
        <w:spacing w:after="60" w:line="264"/>
        <w:jc w:val="both"/>
      </w:pPr>
      <w:r>
        <w:rPr>
          <w:rFonts w:ascii="Calibri" w:cs="Calibri" w:eastAsia="Calibri" w:hAnsi="Calibri"/>
          <w:sz w:val="19"/>
          <w:szCs w:val="19"/>
        </w:rPr>
        <w:t xml:space="preserve">For a free zone entity claiming the 0% rate, the de minimis is the lower of AED 5,000,000 or 5% of revenue, and breaching it costs the rate for that period and four more. Found at year end, it cannot be prevented. Found in month four, one engagement can be declined or restructured.</w:t>
      </w:r>
    </w:p>
    <w:p>
      <w:pPr>
        <w:keepNext/>
        <w:spacing w:after="40" w:before="140"/>
      </w:pPr>
      <w:r>
        <w:rPr>
          <w:rFonts w:ascii="Calibri" w:cs="Calibri" w:eastAsia="Calibri" w:hAnsi="Calibri"/>
          <w:b/>
          <w:bCs/>
          <w:color w:val="14161B"/>
          <w:sz w:val="20"/>
          <w:szCs w:val="20"/>
        </w:rPr>
        <w:t xml:space="preserve">A QFZP claim must be evidenced, not asserted</w:t>
      </w:r>
    </w:p>
    <w:p>
      <w:pPr>
        <w:spacing w:after="60" w:line="264"/>
        <w:jc w:val="both"/>
      </w:pPr>
      <w:r>
        <w:rPr>
          <w:rFonts w:ascii="Calibri" w:cs="Calibri" w:eastAsia="Calibri" w:hAnsi="Calibri"/>
          <w:sz w:val="19"/>
          <w:szCs w:val="19"/>
        </w:rPr>
        <w:t xml:space="preserve">Substance, qualifying income, de minimis, transfer pricing compliance and audited statements are all testable conditions. The evidence needs to exist at the time and be capable of reconstruction years later. This is the weakest area in most free zone filings.</w:t>
      </w:r>
    </w:p>
    <w:p>
      <w:pPr>
        <w:keepNext/>
        <w:spacing w:after="40" w:before="140"/>
      </w:pPr>
      <w:r>
        <w:rPr>
          <w:rFonts w:ascii="Calibri" w:cs="Calibri" w:eastAsia="Calibri" w:hAnsi="Calibri"/>
          <w:b/>
          <w:bCs/>
          <w:color w:val="14161B"/>
          <w:sz w:val="20"/>
          <w:szCs w:val="20"/>
        </w:rPr>
        <w:t xml:space="preserve">Audited statements are a QFZP condition</w:t>
      </w:r>
    </w:p>
    <w:p>
      <w:pPr>
        <w:spacing w:after="60" w:line="264"/>
        <w:jc w:val="both"/>
      </w:pPr>
      <w:r>
        <w:rPr>
          <w:rFonts w:ascii="Calibri" w:cs="Calibri" w:eastAsia="Calibri" w:hAnsi="Calibri"/>
          <w:sz w:val="19"/>
          <w:szCs w:val="19"/>
        </w:rPr>
        <w:t xml:space="preserve">Under current rules a Qualifying Free Zone Person must prepare audited financial statements. Small free zone companies frequently have not budgeted for an audit and discover the requirement when claiming the rate.</w:t>
      </w:r>
    </w:p>
    <w:p>
      <w:pPr>
        <w:keepNext/>
        <w:spacing w:after="40" w:before="140"/>
      </w:pPr>
      <w:r>
        <w:rPr>
          <w:rFonts w:ascii="Calibri" w:cs="Calibri" w:eastAsia="Calibri" w:hAnsi="Calibri"/>
          <w:b/>
          <w:bCs/>
          <w:color w:val="14161B"/>
          <w:sz w:val="20"/>
          <w:szCs w:val="20"/>
        </w:rPr>
        <w:t xml:space="preserve">Small Business Relief must be elected and is transitional</w:t>
      </w:r>
    </w:p>
    <w:p>
      <w:pPr>
        <w:spacing w:after="60" w:line="264"/>
        <w:jc w:val="both"/>
      </w:pPr>
      <w:r>
        <w:rPr>
          <w:rFonts w:ascii="Calibri" w:cs="Calibri" w:eastAsia="Calibri" w:hAnsi="Calibri"/>
          <w:sz w:val="19"/>
          <w:szCs w:val="19"/>
        </w:rPr>
        <w:t xml:space="preserve">It applies where revenue does not exceed AED 3,000,000 in the current and prior period, must be actively elected in the return, and is available for periods ending on or before 31 December 2026. A free zone entity electing it gives up the QFZP position for that period — model both.</w:t>
      </w:r>
    </w:p>
    <w:p>
      <w:pPr>
        <w:keepNext/>
        <w:spacing w:after="40" w:before="140"/>
      </w:pPr>
      <w:r>
        <w:rPr>
          <w:rFonts w:ascii="Calibri" w:cs="Calibri" w:eastAsia="Calibri" w:hAnsi="Calibri"/>
          <w:b/>
          <w:bCs/>
          <w:color w:val="14161B"/>
          <w:sz w:val="20"/>
          <w:szCs w:val="20"/>
        </w:rPr>
        <w:t xml:space="preserve">Connected person payments need market support</w:t>
      </w:r>
    </w:p>
    <w:p>
      <w:pPr>
        <w:spacing w:after="60" w:line="264"/>
        <w:jc w:val="both"/>
      </w:pPr>
      <w:r>
        <w:rPr>
          <w:rFonts w:ascii="Calibri" w:cs="Calibri" w:eastAsia="Calibri" w:hAnsi="Calibri"/>
          <w:sz w:val="19"/>
          <w:szCs w:val="19"/>
        </w:rPr>
        <w:t xml:space="preserve">Payments to the owner, a director or their relatives — salary, rent, interest, management fees — must be at market value or be adjusted. Owner-managed businesses treat these as ordinary expenses and are the most commonly adjusted category.</w:t>
      </w:r>
    </w:p>
    <w:p>
      <w:pPr>
        <w:keepNext/>
        <w:spacing w:after="40" w:before="140"/>
      </w:pPr>
      <w:r>
        <w:rPr>
          <w:rFonts w:ascii="Calibri" w:cs="Calibri" w:eastAsia="Calibri" w:hAnsi="Calibri"/>
          <w:b/>
          <w:bCs/>
          <w:color w:val="14161B"/>
          <w:sz w:val="20"/>
          <w:szCs w:val="20"/>
        </w:rPr>
        <w:t xml:space="preserve">Keep evidence that intercompany services were delivered</w:t>
      </w:r>
    </w:p>
    <w:p>
      <w:pPr>
        <w:spacing w:after="60" w:line="264"/>
        <w:jc w:val="both"/>
      </w:pPr>
      <w:r>
        <w:rPr>
          <w:rFonts w:ascii="Calibri" w:cs="Calibri" w:eastAsia="Calibri" w:hAnsi="Calibri"/>
          <w:sz w:val="19"/>
          <w:szCs w:val="19"/>
        </w:rPr>
        <w:t xml:space="preserve">Where a management fee or recharge is deducted, retain evidence of what was actually provided — reports, correspondence, time records. An adjustment frequently turns on the absence of proof that anything was received, not on the price.</w:t>
      </w:r>
    </w:p>
    <w:p>
      <w:pPr>
        <w:keepNext/>
        <w:spacing w:after="40" w:before="140"/>
      </w:pPr>
      <w:r>
        <w:rPr>
          <w:rFonts w:ascii="Calibri" w:cs="Calibri" w:eastAsia="Calibri" w:hAnsi="Calibri"/>
          <w:b/>
          <w:bCs/>
          <w:color w:val="14161B"/>
          <w:sz w:val="20"/>
          <w:szCs w:val="20"/>
        </w:rPr>
        <w:t xml:space="preserve">Track losses by the year they arose</w:t>
      </w:r>
    </w:p>
    <w:p>
      <w:pPr>
        <w:spacing w:after="60" w:line="264"/>
        <w:jc w:val="both"/>
      </w:pPr>
      <w:r>
        <w:rPr>
          <w:rFonts w:ascii="Calibri" w:cs="Calibri" w:eastAsia="Calibri" w:hAnsi="Calibri"/>
          <w:sz w:val="19"/>
          <w:szCs w:val="19"/>
        </w:rPr>
        <w:t xml:space="preserve">Carry-forward is subject to conditions, and a schedule showing losses by origin year is needed to support any utilisation. Reconstructing it later from movement in reserves is unreliable.</w:t>
      </w:r>
    </w:p>
    <w:p>
      <w:pPr>
        <w:keepNext/>
        <w:spacing w:after="40" w:before="140"/>
      </w:pPr>
      <w:r>
        <w:rPr>
          <w:rFonts w:ascii="Calibri" w:cs="Calibri" w:eastAsia="Calibri" w:hAnsi="Calibri"/>
          <w:b/>
          <w:bCs/>
          <w:color w:val="14161B"/>
          <w:sz w:val="20"/>
          <w:szCs w:val="20"/>
        </w:rPr>
        <w:t xml:space="preserve">Have someone else read the return</w:t>
      </w:r>
    </w:p>
    <w:p>
      <w:pPr>
        <w:spacing w:after="60" w:line="264"/>
        <w:jc w:val="both"/>
      </w:pPr>
      <w:r>
        <w:rPr>
          <w:rFonts w:ascii="Calibri" w:cs="Calibri" w:eastAsia="Calibri" w:hAnsi="Calibri"/>
          <w:sz w:val="19"/>
          <w:szCs w:val="19"/>
        </w:rPr>
        <w:t xml:space="preserve">A return prepared and filed by one person, with no independent review, is where classification and arithmetic errors survive. The review costs an hour and catches the errors that become penalties.</w:t>
      </w:r>
    </w:p>
    <w:p>
      <w:pPr>
        <w:keepNext/>
        <w:spacing w:after="40" w:before="140"/>
      </w:pPr>
      <w:r>
        <w:rPr>
          <w:rFonts w:ascii="Calibri" w:cs="Calibri" w:eastAsia="Calibri" w:hAnsi="Calibri"/>
          <w:b/>
          <w:bCs/>
          <w:color w:val="14161B"/>
          <w:sz w:val="20"/>
          <w:szCs w:val="20"/>
        </w:rPr>
        <w:t xml:space="preserve">The penalty framework was rewritten</w:t>
      </w:r>
    </w:p>
    <w:p>
      <w:pPr>
        <w:spacing w:after="60" w:line="264"/>
        <w:jc w:val="both"/>
      </w:pPr>
      <w:r>
        <w:rPr>
          <w:rFonts w:ascii="Calibri" w:cs="Calibri" w:eastAsia="Calibri" w:hAnsi="Calibri"/>
          <w:sz w:val="19"/>
          <w:szCs w:val="19"/>
        </w:rPr>
        <w:t xml:space="preserve">The FTA penalty regime was substantially revised with effect from 2026. Figures and structures from earlier guidance are unreliable. Confirm the current schedule before assessing exposure on a late filing or a correction.</w:t>
      </w:r>
    </w:p>
    <w:p>
      <w:pPr>
        <w:keepNext/>
        <w:spacing w:after="40" w:before="140"/>
      </w:pPr>
      <w:r>
        <w:rPr>
          <w:rFonts w:ascii="Calibri" w:cs="Calibri" w:eastAsia="Calibri" w:hAnsi="Calibri"/>
          <w:b/>
          <w:bCs/>
          <w:color w:val="14161B"/>
          <w:sz w:val="20"/>
          <w:szCs w:val="20"/>
        </w:rPr>
        <w:t xml:space="preserve">Use a voluntary disclosure to correct errors</w:t>
      </w:r>
    </w:p>
    <w:p>
      <w:pPr>
        <w:spacing w:after="60" w:line="264"/>
        <w:jc w:val="both"/>
      </w:pPr>
      <w:r>
        <w:rPr>
          <w:rFonts w:ascii="Calibri" w:cs="Calibri" w:eastAsia="Calibri" w:hAnsi="Calibri"/>
          <w:sz w:val="19"/>
          <w:szCs w:val="19"/>
        </w:rPr>
        <w:t xml:space="preserve">Where an error is identified after filing, correcting it proactively is materially better than waiting to be assessed. The penalty position and the posture with the authority both differ.</w:t>
      </w:r>
    </w:p>
    <w:p>
      <w:pPr>
        <w:keepNext/>
        <w:spacing w:after="40" w:before="140"/>
      </w:pPr>
      <w:r>
        <w:rPr>
          <w:rFonts w:ascii="Calibri" w:cs="Calibri" w:eastAsia="Calibri" w:hAnsi="Calibri"/>
          <w:b/>
          <w:bCs/>
          <w:color w:val="14161B"/>
          <w:sz w:val="20"/>
          <w:szCs w:val="20"/>
        </w:rPr>
        <w:t xml:space="preserve">Seven years from the end of the tax period</w:t>
      </w:r>
    </w:p>
    <w:p>
      <w:pPr>
        <w:spacing w:after="60" w:line="264"/>
        <w:jc w:val="both"/>
      </w:pPr>
      <w:r>
        <w:rPr>
          <w:rFonts w:ascii="Calibri" w:cs="Calibri" w:eastAsia="Calibri" w:hAnsi="Calibri"/>
          <w:sz w:val="19"/>
          <w:szCs w:val="19"/>
        </w:rPr>
        <w:t xml:space="preserve">The retention clock runs from the end of the relevant tax period, not from the transaction or the filing date. Index the working papers when they are prepared — finding them six years later is the actual problem.</w:t>
      </w:r>
    </w:p>
    <w:p>
      <w:pPr>
        <w:keepNext/>
        <w:spacing w:after="40" w:before="140"/>
      </w:pPr>
      <w:r>
        <w:rPr>
          <w:rFonts w:ascii="Calibri" w:cs="Calibri" w:eastAsia="Calibri" w:hAnsi="Calibri"/>
          <w:b/>
          <w:bCs/>
          <w:color w:val="14161B"/>
          <w:sz w:val="20"/>
          <w:szCs w:val="20"/>
        </w:rPr>
        <w:t xml:space="preserve">Set up next period’s monitoring immediately</w:t>
      </w:r>
    </w:p>
    <w:p>
      <w:pPr>
        <w:spacing w:after="60" w:line="264"/>
        <w:jc w:val="both"/>
      </w:pPr>
      <w:r>
        <w:rPr>
          <w:rFonts w:ascii="Calibri" w:cs="Calibri" w:eastAsia="Calibri" w:hAnsi="Calibri"/>
          <w:sz w:val="19"/>
          <w:szCs w:val="19"/>
        </w:rPr>
        <w:t xml:space="preserve">The controls that make the next return straightforward — monthly revenue analysis, related party tracking, disallowable expenditure flagged as it arises — should be established when this one is filed, while the gaps are fresh.</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tax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Federal Decree-Law 47/2022, the Cabinet and Ministerial Decisions on qualifying income and activities, Small Business Relief availability, interest limitation rules, exemptions and the FTA penalty regime all change — confirm the current position with the Federal Tax Authority or a UAE tax adviser before filing.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2026-08-23T16:28:35.758Z</dcterms:created>
  <dcterms:modified xsi:type="dcterms:W3CDTF">2026-08-23T16:28:35.758Z</dcterms:modified>
</cp:coreProperties>
</file>

<file path=docProps/custom.xml><?xml version="1.0" encoding="utf-8"?>
<Properties xmlns="http://schemas.openxmlformats.org/officeDocument/2006/custom-properties" xmlns:vt="http://schemas.openxmlformats.org/officeDocument/2006/docPropsVTypes"/>
</file>