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CORPORATE TAX</w:t>
      </w:r>
    </w:p>
    <w:p>
      <w:pPr>
        <w:spacing w:after="260"/>
        <w:jc w:val="center"/>
      </w:pPr>
      <w:r>
        <w:rPr>
          <w:rFonts w:ascii="Calibri" w:cs="Calibri" w:eastAsia="Calibri" w:hAnsi="Calibri"/>
          <w:i/>
          <w:iCs/>
          <w:color w:val="6E7480"/>
          <w:sz w:val="19"/>
          <w:szCs w:val="19"/>
        </w:rPr>
        <w:t xml:space="preserve">Registration, free zone status and the qualifying income test</w:t>
      </w:r>
    </w:p>
    <w:p>
      <w:pPr>
        <w:spacing w:after="180" w:before="0" w:line="276"/>
        <w:jc w:val="both"/>
      </w:pPr>
      <w:r>
        <w:rPr>
          <w:rFonts w:ascii="Calibri" w:cs="Calibri" w:eastAsia="Calibri" w:hAnsi="Calibri"/>
          <w:i/>
          <w:iCs/>
          <w:color w:val="6E7480"/>
          <w:sz w:val="21"/>
          <w:szCs w:val="21"/>
        </w:rPr>
        <w:t xml:space="preserve">The rate is 9% above AED 375,000. A </w:t>
      </w:r>
      <w:r>
        <w:rPr>
          <w:rFonts w:ascii="Calibri" w:cs="Calibri" w:eastAsia="Calibri" w:hAnsi="Calibri"/>
          <w:b/>
          <w:bCs/>
          <w:i/>
          <w:iCs/>
          <w:color w:val="6E7480"/>
          <w:sz w:val="21"/>
          <w:szCs w:val="21"/>
        </w:rPr>
        <w:t xml:space="preserve">Qualifying Free Zone Person</w:t>
      </w:r>
      <w:r>
        <w:rPr>
          <w:rFonts w:ascii="Calibri" w:cs="Calibri" w:eastAsia="Calibri" w:hAnsi="Calibri"/>
          <w:i/>
          <w:iCs/>
          <w:color w:val="6E7480"/>
          <w:sz w:val="21"/>
          <w:szCs w:val="21"/>
        </w:rPr>
        <w:t xml:space="preserve"> pays 0% on qualifying income — but the de minimis for non-qualifying revenue is the lower of </w:t>
      </w:r>
      <w:r>
        <w:rPr>
          <w:rFonts w:ascii="Calibri" w:cs="Calibri" w:eastAsia="Calibri" w:hAnsi="Calibri"/>
          <w:b/>
          <w:bCs/>
          <w:i/>
          <w:iCs/>
          <w:color w:val="6E7480"/>
          <w:sz w:val="21"/>
          <w:szCs w:val="21"/>
        </w:rPr>
        <w:t xml:space="preserve">AED 5,000,000 or 5% of total revenue</w:t>
      </w:r>
      <w:r>
        <w:rPr>
          <w:rFonts w:ascii="Calibri" w:cs="Calibri" w:eastAsia="Calibri" w:hAnsi="Calibri"/>
          <w:i/>
          <w:iCs/>
          <w:color w:val="6E7480"/>
          <w:sz w:val="21"/>
          <w:szCs w:val="21"/>
        </w:rPr>
        <w:t xml:space="preserve">, and breaching it loses the status for that period </w:t>
      </w:r>
      <w:r>
        <w:rPr>
          <w:rFonts w:ascii="Calibri" w:cs="Calibri" w:eastAsia="Calibri" w:hAnsi="Calibri"/>
          <w:b/>
          <w:bCs/>
          <w:i/>
          <w:iCs/>
          <w:color w:val="6E7480"/>
          <w:sz w:val="21"/>
          <w:szCs w:val="21"/>
        </w:rPr>
        <w:t xml:space="preserve">and the following four</w:t>
      </w:r>
      <w:r>
        <w:rPr>
          <w:rFonts w:ascii="Calibri" w:cs="Calibri" w:eastAsia="Calibri" w:hAnsi="Calibri"/>
          <w:i/>
          <w:iCs/>
          <w:color w:val="6E7480"/>
          <w:sz w:val="21"/>
          <w:szCs w:val="21"/>
        </w:rPr>
        <w:t xml:space="preserve">. One mainland invoice can cost more than the trade licence.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tax registration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registered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revenue for the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Claiming QFZP status?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Qualifying revenue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Non-qualifying revenue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 minimis threshold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Lower of AED 5,000,000 or 5% of total revenue =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de minimis?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Small Business Relief elected?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available for periods ending on or before 31 Dec 2026]</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Return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REGISTRATION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Registration is mandatory</w:t>
      </w:r>
      <w:r>
        <w:rPr>
          <w:rFonts w:ascii="Calibri" w:cs="Calibri" w:eastAsia="Calibri" w:hAnsi="Calibri"/>
          <w:sz w:val="21"/>
          <w:szCs w:val="21"/>
        </w:rPr>
        <w:t xml:space="preserve"> for taxable persons, including free zone entities and businesses expecting no liability.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company below the AED 375,000 threshold, or electing Small Business Relief, still registers and still files.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Registration deadlines depend on the entity and its licence date. Late registration attracts a penalty.</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The most common early error is assuming that no expected tax means no obligation. Registration and filing are separate from liability.</w:t>
      </w:r>
    </w:p>
    <w:p>
      <w:pPr>
        <w:keepNext/>
        <w:spacing w:after="120" w:before="280"/>
        <w:outlineLvl w:val="0"/>
      </w:pPr>
      <w:r>
        <w:rPr>
          <w:rFonts w:ascii="Calibri" w:cs="Calibri" w:eastAsia="Calibri" w:hAnsi="Calibri"/>
          <w:b/>
          <w:bCs/>
          <w:color w:val="14161B"/>
          <w:sz w:val="22"/>
          <w:szCs w:val="22"/>
        </w:rPr>
        <w:t xml:space="preserve">2. RATES AND RELIEFS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349"/>
        <w:gridCol w:w="5205"/>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Rate</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income up to AED 375,000</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0%</w:t>
            </w:r>
          </w:p>
        </w:tc>
        <w:tc>
          <w:tcPr>
            <w:tcW w:type="dxa" w:w="5205"/>
            <w:tcMar>
              <w:top w:type="dxa" w:w="70"/>
              <w:left w:type="dxa" w:w="100"/>
              <w:bottom w:type="dxa" w:w="70"/>
              <w:right w:type="dxa" w:w="100"/>
            </w:tcMar>
            <w:vAlign w:val="center"/>
          </w:tcPr>
          <w:p>
            <w:pPr>
              <w:spacing w:after="0" w:line="240"/>
              <w:jc w:val="left"/>
            </w:pP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income above AED 375,000</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standard rate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Qualifying Free Zone Person — qualifying income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0%</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Conditional; see Section 3</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QFZP — non-qualifying income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AED 375,000 threshold applies to a QFZP</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Small Business Relief</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Taxable income treated as </w:t>
            </w:r>
            <w:r>
              <w:rPr>
                <w:rFonts w:ascii="Calibri" w:cs="Calibri" w:eastAsia="Calibri" w:hAnsi="Calibri"/>
                <w:b/>
                <w:bCs/>
                <w:sz w:val="18"/>
                <w:szCs w:val="18"/>
              </w:rPr>
              <w:t xml:space="preserve">nil</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Revenue not exceeding AED 3,000,000 in the current and prior periods; </w:t>
            </w:r>
            <w:r>
              <w:rPr>
                <w:rFonts w:ascii="Calibri" w:cs="Calibri" w:eastAsia="Calibri" w:hAnsi="Calibri"/>
                <w:b/>
                <w:bCs/>
                <w:sz w:val="18"/>
                <w:szCs w:val="18"/>
              </w:rPr>
              <w:t xml:space="preserve">elective</w:t>
            </w:r>
            <w:r>
              <w:rPr>
                <w:rFonts w:ascii="Calibri" w:cs="Calibri" w:eastAsia="Calibri" w:hAnsi="Calibri"/>
                <w:sz w:val="18"/>
                <w:szCs w:val="18"/>
              </w:rPr>
              <w:t xml:space="preserve">; available for periods ending on or before </w:t>
            </w:r>
            <w:r>
              <w:rPr>
                <w:rFonts w:ascii="Calibri" w:cs="Calibri" w:eastAsia="Calibri" w:hAnsi="Calibri"/>
                <w:b/>
                <w:bCs/>
                <w:sz w:val="18"/>
                <w:szCs w:val="18"/>
              </w:rPr>
              <w:t xml:space="preserve">31 December 2026</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Large multinational groups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15% minimum</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Domestic Minimum Top-Up Tax under Pillar Two, for groups above the consolidated revenue threshold, from 1 January 2025</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Small Business Relief must be </w:t>
      </w:r>
      <w:r>
        <w:rPr>
          <w:rFonts w:ascii="Calibri" w:cs="Calibri" w:eastAsia="Calibri" w:hAnsi="Calibri"/>
          <w:i/>
          <w:iCs/>
          <w:sz w:val="21"/>
          <w:szCs w:val="21"/>
        </w:rPr>
        <w:t xml:space="preserve">actively elected</w:t>
      </w:r>
      <w:r>
        <w:rPr>
          <w:rFonts w:ascii="Calibri" w:cs="Calibri" w:eastAsia="Calibri" w:hAnsi="Calibri"/>
          <w:i/>
          <w:iCs/>
          <w:sz w:val="21"/>
          <w:szCs w:val="21"/>
        </w:rPr>
        <w:t xml:space="preserve"> — it does not apply automatically. It is transitional, and it interacts with QFZP status: a free zone entity electing it gives up the QFZP position for that period.</w:t>
      </w:r>
    </w:p>
    <w:p>
      <w:pPr>
        <w:keepNext/>
        <w:spacing w:after="120" w:before="280"/>
        <w:outlineLvl w:val="0"/>
      </w:pPr>
      <w:r>
        <w:rPr>
          <w:rFonts w:ascii="Calibri" w:cs="Calibri" w:eastAsia="Calibri" w:hAnsi="Calibri"/>
          <w:b/>
          <w:bCs/>
          <w:color w:val="14161B"/>
          <w:sz w:val="22"/>
          <w:szCs w:val="22"/>
        </w:rPr>
        <w:t xml:space="preserve">3. QUALIFYING FREE ZONE PERSON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free zone entity is </w:t>
      </w:r>
      <w:r>
        <w:rPr>
          <w:rFonts w:ascii="Calibri" w:cs="Calibri" w:eastAsia="Calibri" w:hAnsi="Calibri"/>
          <w:b/>
          <w:bCs/>
          <w:sz w:val="21"/>
          <w:szCs w:val="21"/>
        </w:rPr>
        <w:t xml:space="preserve">not automatically exempt</w:t>
      </w:r>
      <w:r>
        <w:rPr>
          <w:rFonts w:ascii="Calibri" w:cs="Calibri" w:eastAsia="Calibri" w:hAnsi="Calibri"/>
          <w:sz w:val="21"/>
          <w:szCs w:val="21"/>
        </w:rPr>
        <w:t xml:space="preserve">. The 0% rate applies only to a QFZP, on qualifying income, and only while every condition is met.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Maintains </w:t>
            </w:r>
            <w:r>
              <w:rPr>
                <w:rFonts w:ascii="Calibri" w:cs="Calibri" w:eastAsia="Calibri" w:hAnsi="Calibri"/>
                <w:b/>
                <w:bCs/>
                <w:sz w:val="17"/>
                <w:szCs w:val="17"/>
              </w:rPr>
              <w:t xml:space="preserve">adequate substance</w:t>
            </w:r>
            <w:r>
              <w:rPr>
                <w:rFonts w:ascii="Calibri" w:cs="Calibri" w:eastAsia="Calibri" w:hAnsi="Calibri"/>
                <w:sz w:val="17"/>
                <w:szCs w:val="17"/>
              </w:rPr>
              <w:t xml:space="preserve"> in the free zone — people, premises, expenditure, core income-generating activity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Derives </w:t>
            </w:r>
            <w:r>
              <w:rPr>
                <w:rFonts w:ascii="Calibri" w:cs="Calibri" w:eastAsia="Calibri" w:hAnsi="Calibri"/>
                <w:b/>
                <w:bCs/>
                <w:sz w:val="17"/>
                <w:szCs w:val="17"/>
              </w:rPr>
              <w:t xml:space="preserve">qualifying income</w:t>
            </w:r>
            <w:r>
              <w:rPr>
                <w:rFonts w:ascii="Calibri" w:cs="Calibri" w:eastAsia="Calibri" w:hAnsi="Calibri"/>
                <w:sz w:val="17"/>
                <w:szCs w:val="17"/>
              </w:rPr>
              <w:t xml:space="preserve"> as defined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Has </w:t>
            </w:r>
            <w:r>
              <w:rPr>
                <w:rFonts w:ascii="Calibri" w:cs="Calibri" w:eastAsia="Calibri" w:hAnsi="Calibri"/>
                <w:b/>
                <w:bCs/>
                <w:sz w:val="17"/>
                <w:szCs w:val="17"/>
              </w:rPr>
              <w:t xml:space="preserve">not elected</w:t>
            </w:r>
            <w:r>
              <w:rPr>
                <w:rFonts w:ascii="Calibri" w:cs="Calibri" w:eastAsia="Calibri" w:hAnsi="Calibri"/>
                <w:sz w:val="17"/>
                <w:szCs w:val="17"/>
              </w:rPr>
              <w:t xml:space="preserve"> to be taxed at the standard rate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Complies with </w:t>
            </w:r>
            <w:r>
              <w:rPr>
                <w:rFonts w:ascii="Calibri" w:cs="Calibri" w:eastAsia="Calibri" w:hAnsi="Calibri"/>
                <w:b/>
                <w:bCs/>
                <w:sz w:val="17"/>
                <w:szCs w:val="17"/>
              </w:rPr>
              <w:t xml:space="preserve">transfer pricing</w:t>
            </w:r>
            <w:r>
              <w:rPr>
                <w:rFonts w:ascii="Calibri" w:cs="Calibri" w:eastAsia="Calibri" w:hAnsi="Calibri"/>
                <w:sz w:val="17"/>
                <w:szCs w:val="17"/>
              </w:rPr>
              <w:t xml:space="preserve"> rules and documentation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Non-qualifying revenue within the </w:t>
            </w:r>
            <w:r>
              <w:rPr>
                <w:rFonts w:ascii="Calibri" w:cs="Calibri" w:eastAsia="Calibri" w:hAnsi="Calibri"/>
                <w:b/>
                <w:bCs/>
                <w:sz w:val="17"/>
                <w:szCs w:val="17"/>
              </w:rPr>
              <w:t xml:space="preserve">de minimis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Prepares </w:t>
            </w:r>
            <w:r>
              <w:rPr>
                <w:rFonts w:ascii="Calibri" w:cs="Calibri" w:eastAsia="Calibri" w:hAnsi="Calibri"/>
                <w:b/>
                <w:bCs/>
                <w:sz w:val="17"/>
                <w:szCs w:val="17"/>
              </w:rPr>
              <w:t xml:space="preserve">audited financial statements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QFZP status</w:t>
            </w:r>
          </w:p>
        </w:tc>
        <w:tc>
          <w:tcPr>
            <w:tcW w:type="dxa" w:w="2505"/>
            <w:tcMar>
              <w:top w:type="dxa" w:w="70"/>
              <w:left w:type="dxa" w:w="100"/>
              <w:bottom w:type="dxa" w:w="70"/>
              <w:right w:type="dxa" w:w="100"/>
            </w:tcMar>
            <w:vAlign w:val="center"/>
          </w:tcPr>
          <w:p>
            <w:pPr>
              <w:spacing w:after="0" w:line="240"/>
              <w:jc w:val="left"/>
            </w:pP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The de minimis.</w:t>
      </w:r>
      <w:r>
        <w:rPr>
          <w:rFonts w:ascii="Calibri" w:cs="Calibri" w:eastAsia="Calibri" w:hAnsi="Calibri"/>
          <w:sz w:val="21"/>
          <w:szCs w:val="21"/>
        </w:rPr>
        <w:t xml:space="preserve"> Non-qualifying revenue must not exceed the </w:t>
      </w:r>
      <w:r>
        <w:rPr>
          <w:rFonts w:ascii="Calibri" w:cs="Calibri" w:eastAsia="Calibri" w:hAnsi="Calibri"/>
          <w:b/>
          <w:bCs/>
          <w:sz w:val="21"/>
          <w:szCs w:val="21"/>
        </w:rPr>
        <w:t xml:space="preserve">lower of AED 5,000,000 or 5% of total revenue</w:t>
      </w:r>
      <w:r>
        <w:rPr>
          <w:rFonts w:ascii="Calibri" w:cs="Calibri" w:eastAsia="Calibri" w:hAnsi="Calibri"/>
          <w:sz w:val="21"/>
          <w:szCs w:val="21"/>
        </w:rPr>
        <w:t xml:space="preserve">. Where it does, QFZP status is lost for that tax period </w:t>
      </w:r>
      <w:r>
        <w:rPr>
          <w:rFonts w:ascii="Calibri" w:cs="Calibri" w:eastAsia="Calibri" w:hAnsi="Calibri"/>
          <w:b/>
          <w:bCs/>
          <w:sz w:val="21"/>
          <w:szCs w:val="21"/>
        </w:rPr>
        <w:t xml:space="preserve">and the four following periods</w:t>
      </w:r>
      <w:r>
        <w:rPr>
          <w:rFonts w:ascii="Calibri" w:cs="Calibri" w:eastAsia="Calibri" w:hAnsi="Calibri"/>
          <w:sz w:val="21"/>
          <w:szCs w:val="21"/>
        </w:rPr>
        <w:t xml:space="preserve">, with all income taxed at 9%.</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Consider a consultancy with AED 4,000,000 of qualifying revenue that invoices AED 220,000 to a mainland client. The de minimis is the lower of AED 5,000,000 and 5% of AED 4,220,000 — that is AED 211,000. The threshold is breached, and every dirham of profit moves to 9% for five periods. That single invoice is the most expensive one the business will issue.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Qualifying and excluded activities are defined by ministerial decision and have been revised. </w:t>
      </w:r>
      <w:r>
        <w:rPr>
          <w:rFonts w:ascii="Calibri" w:cs="Calibri" w:eastAsia="Calibri" w:hAnsi="Calibri"/>
          <w:b/>
          <w:bCs/>
          <w:sz w:val="21"/>
          <w:szCs w:val="21"/>
        </w:rPr>
        <w:t xml:space="preserve">Confirm the current list before relying on any activity being qualifying.</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Distribution of goods generally qualifies only where carried out in or from a </w:t>
      </w:r>
      <w:r>
        <w:rPr>
          <w:rFonts w:ascii="Calibri" w:cs="Calibri" w:eastAsia="Calibri" w:hAnsi="Calibri"/>
          <w:b/>
          <w:bCs/>
          <w:sz w:val="21"/>
          <w:szCs w:val="21"/>
        </w:rPr>
        <w:t xml:space="preserve">designated zone</w:t>
      </w:r>
      <w:r>
        <w:rPr>
          <w:rFonts w:ascii="Calibri" w:cs="Calibri" w:eastAsia="Calibri" w:hAnsi="Calibri"/>
          <w:sz w:val="21"/>
          <w:szCs w:val="21"/>
        </w:rPr>
        <w:t xml:space="preserve">. The designated zone list for VAT purposes is a </w:t>
      </w:r>
      <w:r>
        <w:rPr>
          <w:rFonts w:ascii="Calibri" w:cs="Calibri" w:eastAsia="Calibri" w:hAnsi="Calibri"/>
          <w:b/>
          <w:bCs/>
          <w:sz w:val="21"/>
          <w:szCs w:val="21"/>
        </w:rPr>
        <w:t xml:space="preserve">different list</w:t>
      </w:r>
      <w:r>
        <w:rPr>
          <w:rFonts w:ascii="Calibri" w:cs="Calibri" w:eastAsia="Calibri" w:hAnsi="Calibri"/>
          <w:sz w:val="21"/>
          <w:szCs w:val="21"/>
        </w:rPr>
        <w:t xml:space="preserve"> from the corporate tax analysis — do not conflate them.</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COMPLIANCE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3084"/>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tax registration completed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deadline for the entity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Accounting records maintained to IFRS or the applicable standard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Revenue analysed between qualifying and non-qualifying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Monthly, not at year end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 minimis headroom monitored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Related-party transactions identified and priced at arm’s length</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 documentation prepared where thresholds are met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Audited financial statements prepared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year end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Small Business Relief election considered and made if applicable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return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 tax return filed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after the tax period ends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paid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deadline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 for </w:t>
            </w:r>
            <w:r>
              <w:rPr>
                <w:rFonts w:ascii="Calibri" w:cs="Calibri" w:eastAsia="Calibri" w:hAnsi="Calibri"/>
                <w:b/>
                <w:bCs/>
                <w:sz w:val="17"/>
                <w:szCs w:val="17"/>
              </w:rPr>
              <w:t xml:space="preserve">seven years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QFZP conditions re-tested for the new period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period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Monitoring qualifying revenue monthly is the single most valuable control in this document. A business that reviews it at year end discovers a breach it can no longer prevent — and the consequence runs five periods.</w:t>
      </w:r>
    </w:p>
    <w:p>
      <w:pPr>
        <w:keepNext/>
        <w:spacing w:after="120" w:before="280"/>
        <w:outlineLvl w:val="0"/>
      </w:pPr>
      <w:r>
        <w:rPr>
          <w:rFonts w:ascii="Calibri" w:cs="Calibri" w:eastAsia="Calibri" w:hAnsi="Calibri"/>
          <w:b/>
          <w:bCs/>
          <w:color w:val="14161B"/>
          <w:sz w:val="22"/>
          <w:szCs w:val="22"/>
        </w:rPr>
        <w:t xml:space="preserve">5. COMMON ERRORS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Assuming a free zone licence means 0%</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rate is conditional. Non-compliance means 9% on everything</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Taking one mainland client "just this once"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breach the de minimis and cost five periods of 0%</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registering because no tax is expected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for late registration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Assuming Small Business Relief applies automatically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must be elected; unelected, tax is payable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Confusing the VAT designated zone list with corporate tax qualifying activities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different regimes and two different lists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Ignoring transfer pricing on intra-group charges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QFZP condition, not an optional extra</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audited financial statements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QFZP condition under current rules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Reviewing revenue mix annually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Breaches are discovered too late to prevent</w:t>
            </w:r>
          </w:p>
        </w:tc>
      </w:tr>
    </w:tbl>
    <w:p>
      <w:pPr>
        <w:spacing w:after="160"/>
      </w:pPr>
    </w:p>
    <w:p>
      <w:pPr>
        <w:keepNext/>
        <w:spacing w:after="120" w:before="280"/>
        <w:outlineLvl w:val="0"/>
      </w:pPr>
      <w:r>
        <w:rPr>
          <w:rFonts w:ascii="Calibri" w:cs="Calibri" w:eastAsia="Calibri" w:hAnsi="Calibri"/>
          <w:b/>
          <w:bCs/>
          <w:color w:val="14161B"/>
          <w:sz w:val="22"/>
          <w:szCs w:val="22"/>
        </w:rPr>
        <w:t xml:space="preserve">6. WHERE THE MAINLAND BUSINESS SHOULD SIT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a free zone entity genuinely needs to serve mainland customers, the options are: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accept the income as non-qualifying and </w:t>
      </w:r>
      <w:r>
        <w:rPr>
          <w:rFonts w:ascii="Calibri" w:cs="Calibri" w:eastAsia="Calibri" w:hAnsi="Calibri"/>
          <w:b/>
          <w:bCs/>
          <w:sz w:val="21"/>
          <w:szCs w:val="21"/>
        </w:rPr>
        <w:t xml:space="preserve">monitor the de minimis</w:t>
      </w:r>
      <w:r>
        <w:rPr>
          <w:rFonts w:ascii="Calibri" w:cs="Calibri" w:eastAsia="Calibri" w:hAnsi="Calibri"/>
          <w:sz w:val="21"/>
          <w:szCs w:val="21"/>
        </w:rPr>
        <w:t xml:space="preserve"> carefully;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establish a </w:t>
      </w:r>
      <w:r>
        <w:rPr>
          <w:rFonts w:ascii="Calibri" w:cs="Calibri" w:eastAsia="Calibri" w:hAnsi="Calibri"/>
          <w:b/>
          <w:bCs/>
          <w:sz w:val="21"/>
          <w:szCs w:val="21"/>
        </w:rPr>
        <w:t xml:space="preserve">mainland branch or subsidiary</w:t>
      </w:r>
      <w:r>
        <w:rPr>
          <w:rFonts w:ascii="Calibri" w:cs="Calibri" w:eastAsia="Calibri" w:hAnsi="Calibri"/>
          <w:sz w:val="21"/>
          <w:szCs w:val="21"/>
        </w:rPr>
        <w:t xml:space="preserve"> to hold that business, keeping the income streams and the accounting separate;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route mainland business through an unrelated </w:t>
      </w:r>
      <w:r>
        <w:rPr>
          <w:rFonts w:ascii="Calibri" w:cs="Calibri" w:eastAsia="Calibri" w:hAnsi="Calibri"/>
          <w:b/>
          <w:bCs/>
          <w:sz w:val="21"/>
          <w:szCs w:val="21"/>
        </w:rPr>
        <w:t xml:space="preserve">distributor</w:t>
      </w:r>
      <w:r>
        <w:rPr>
          <w:rFonts w:ascii="Calibri" w:cs="Calibri" w:eastAsia="Calibri" w:hAnsi="Calibri"/>
          <w:sz w:val="21"/>
          <w:szCs w:val="21"/>
        </w:rPr>
        <w:t xml:space="preserve">;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move the whole business to the mainland and forgo the 0% rate.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A dual structure costs more to run and requires genuinely separate accounting, but it resolves the problem without putting QFZP status at risk. Model it before the first mainland invoice, not after.</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Register even if you expect no liability</w:t>
      </w:r>
    </w:p>
    <w:p>
      <w:pPr>
        <w:spacing w:after="60" w:line="264"/>
        <w:jc w:val="both"/>
      </w:pPr>
      <w:r>
        <w:rPr>
          <w:rFonts w:ascii="Calibri" w:cs="Calibri" w:eastAsia="Calibri" w:hAnsi="Calibri"/>
          <w:sz w:val="19"/>
          <w:szCs w:val="19"/>
        </w:rPr>
        <w:t xml:space="preserve">Registration is mandatory for taxable persons regardless of whether tax is payable. Free zone entities register. Businesses below the threshold register. Businesses electing Small Business Relief register and file. Late registration attracts a penalty, and it is the most common first-year failure.</w:t>
      </w:r>
    </w:p>
    <w:p>
      <w:pPr>
        <w:keepNext/>
        <w:spacing w:after="40" w:before="140"/>
      </w:pPr>
      <w:r>
        <w:rPr>
          <w:rFonts w:ascii="Calibri" w:cs="Calibri" w:eastAsia="Calibri" w:hAnsi="Calibri"/>
          <w:b/>
          <w:bCs/>
          <w:color w:val="14161B"/>
          <w:sz w:val="20"/>
          <w:szCs w:val="20"/>
        </w:rPr>
        <w:t xml:space="preserve">A free zone licence is not a tax exemption</w:t>
      </w:r>
    </w:p>
    <w:p>
      <w:pPr>
        <w:spacing w:after="60" w:line="264"/>
        <w:jc w:val="both"/>
      </w:pPr>
      <w:r>
        <w:rPr>
          <w:rFonts w:ascii="Calibri" w:cs="Calibri" w:eastAsia="Calibri" w:hAnsi="Calibri"/>
          <w:sz w:val="19"/>
          <w:szCs w:val="19"/>
        </w:rPr>
        <w:t xml:space="preserve">The 0% rate applies only to a Qualifying Free Zone Person, on qualifying income, while every condition is met. Marketing that describes free zones as tax-free is describing a conditional rate as though it were automatic. Read Section 3 before assuming the position.</w:t>
      </w:r>
    </w:p>
    <w:p>
      <w:pPr>
        <w:keepNext/>
        <w:spacing w:after="40" w:before="140"/>
      </w:pPr>
      <w:r>
        <w:rPr>
          <w:rFonts w:ascii="Calibri" w:cs="Calibri" w:eastAsia="Calibri" w:hAnsi="Calibri"/>
          <w:b/>
          <w:bCs/>
          <w:color w:val="14161B"/>
          <w:sz w:val="20"/>
          <w:szCs w:val="20"/>
        </w:rPr>
        <w:t xml:space="preserve">The de minimis is the trap</w:t>
      </w:r>
    </w:p>
    <w:p>
      <w:pPr>
        <w:spacing w:after="60" w:line="264"/>
        <w:jc w:val="both"/>
      </w:pPr>
      <w:r>
        <w:rPr>
          <w:rFonts w:ascii="Calibri" w:cs="Calibri" w:eastAsia="Calibri" w:hAnsi="Calibri"/>
          <w:sz w:val="19"/>
          <w:szCs w:val="19"/>
        </w:rPr>
        <w:t xml:space="preserve">Non-qualifying revenue must stay within the lower of AED 5,000,000 or 5% of total revenue. For a business with AED 4,000,000 of revenue, that ceiling is around AED 200,000 — one modest mainland engagement. Breach it and the 0% rate is lost for that period and the four following.</w:t>
      </w:r>
    </w:p>
    <w:p>
      <w:pPr>
        <w:keepNext/>
        <w:spacing w:after="40" w:before="140"/>
      </w:pPr>
      <w:r>
        <w:rPr>
          <w:rFonts w:ascii="Calibri" w:cs="Calibri" w:eastAsia="Calibri" w:hAnsi="Calibri"/>
          <w:b/>
          <w:bCs/>
          <w:color w:val="14161B"/>
          <w:sz w:val="20"/>
          <w:szCs w:val="20"/>
        </w:rPr>
        <w:t xml:space="preserve">Five periods, not one</w:t>
      </w:r>
    </w:p>
    <w:p>
      <w:pPr>
        <w:spacing w:after="60" w:line="264"/>
        <w:jc w:val="both"/>
      </w:pPr>
      <w:r>
        <w:rPr>
          <w:rFonts w:ascii="Calibri" w:cs="Calibri" w:eastAsia="Calibri" w:hAnsi="Calibri"/>
          <w:sz w:val="19"/>
          <w:szCs w:val="19"/>
        </w:rPr>
        <w:t xml:space="preserve">This is what makes the de minimis so serious. A single breach does not cost one year of the preferential rate; it costs that period plus four more, with a retest afterwards. The arithmetic on a marginal mainland invoice almost never works.</w:t>
      </w:r>
    </w:p>
    <w:p>
      <w:pPr>
        <w:keepNext/>
        <w:spacing w:after="40" w:before="140"/>
      </w:pPr>
      <w:r>
        <w:rPr>
          <w:rFonts w:ascii="Calibri" w:cs="Calibri" w:eastAsia="Calibri" w:hAnsi="Calibri"/>
          <w:b/>
          <w:bCs/>
          <w:color w:val="14161B"/>
          <w:sz w:val="20"/>
          <w:szCs w:val="20"/>
        </w:rPr>
        <w:t xml:space="preserve">Monitor monthly</w:t>
      </w:r>
    </w:p>
    <w:p>
      <w:pPr>
        <w:spacing w:after="60" w:line="264"/>
        <w:jc w:val="both"/>
      </w:pPr>
      <w:r>
        <w:rPr>
          <w:rFonts w:ascii="Calibri" w:cs="Calibri" w:eastAsia="Calibri" w:hAnsi="Calibri"/>
          <w:sz w:val="19"/>
          <w:szCs w:val="19"/>
        </w:rPr>
        <w:t xml:space="preserve">The only reliable control is analysing revenue between qualifying and non-qualifying every month and tracking headroom against the threshold. A year-end review finds a breach that could have been prevented in month four by declining or restructuring one engagement.</w:t>
      </w:r>
    </w:p>
    <w:p>
      <w:pPr>
        <w:keepNext/>
        <w:spacing w:after="40" w:before="140"/>
      </w:pPr>
      <w:r>
        <w:rPr>
          <w:rFonts w:ascii="Calibri" w:cs="Calibri" w:eastAsia="Calibri" w:hAnsi="Calibri"/>
          <w:b/>
          <w:bCs/>
          <w:color w:val="14161B"/>
          <w:sz w:val="20"/>
          <w:szCs w:val="20"/>
        </w:rPr>
        <w:t xml:space="preserve">Substance is a real condition</w:t>
      </w:r>
    </w:p>
    <w:p>
      <w:pPr>
        <w:spacing w:after="60" w:line="264"/>
        <w:jc w:val="both"/>
      </w:pPr>
      <w:r>
        <w:rPr>
          <w:rFonts w:ascii="Calibri" w:cs="Calibri" w:eastAsia="Calibri" w:hAnsi="Calibri"/>
          <w:sz w:val="19"/>
          <w:szCs w:val="19"/>
        </w:rPr>
        <w:t xml:space="preserve">Adequate substance means people, premises, expenditure and core income-generating activity actually in the free zone. A licence with a flexi-desk and no genuine operations does not meet it, and substance is exactly what the FTA examines when testing QFZP claims.</w:t>
      </w:r>
    </w:p>
    <w:p>
      <w:pPr>
        <w:keepNext/>
        <w:spacing w:after="40" w:before="140"/>
      </w:pPr>
      <w:r>
        <w:rPr>
          <w:rFonts w:ascii="Calibri" w:cs="Calibri" w:eastAsia="Calibri" w:hAnsi="Calibri"/>
          <w:b/>
          <w:bCs/>
          <w:color w:val="14161B"/>
          <w:sz w:val="20"/>
          <w:szCs w:val="20"/>
        </w:rPr>
        <w:t xml:space="preserve">Audited financial statements are required for a QFZP</w:t>
      </w:r>
    </w:p>
    <w:p>
      <w:pPr>
        <w:spacing w:after="60" w:line="264"/>
        <w:jc w:val="both"/>
      </w:pPr>
      <w:r>
        <w:rPr>
          <w:rFonts w:ascii="Calibri" w:cs="Calibri" w:eastAsia="Calibri" w:hAnsi="Calibri"/>
          <w:sz w:val="19"/>
          <w:szCs w:val="19"/>
        </w:rPr>
        <w:t xml:space="preserve">Under current rules a Qualifying Free Zone Person must prepare audited financial statements. Small free zone companies frequently have not budgeted for an audit and discover the requirement when claiming the 0% rate.</w:t>
      </w:r>
    </w:p>
    <w:p>
      <w:pPr>
        <w:keepNext/>
        <w:spacing w:after="40" w:before="140"/>
      </w:pPr>
      <w:r>
        <w:rPr>
          <w:rFonts w:ascii="Calibri" w:cs="Calibri" w:eastAsia="Calibri" w:hAnsi="Calibri"/>
          <w:b/>
          <w:bCs/>
          <w:color w:val="14161B"/>
          <w:sz w:val="20"/>
          <w:szCs w:val="20"/>
        </w:rPr>
        <w:t xml:space="preserve">Transfer pricing applies to intra-group charges</w:t>
      </w:r>
    </w:p>
    <w:p>
      <w:pPr>
        <w:spacing w:after="60" w:line="264"/>
        <w:jc w:val="both"/>
      </w:pPr>
      <w:r>
        <w:rPr>
          <w:rFonts w:ascii="Calibri" w:cs="Calibri" w:eastAsia="Calibri" w:hAnsi="Calibri"/>
          <w:sz w:val="19"/>
          <w:szCs w:val="19"/>
        </w:rPr>
        <w:t xml:space="preserve">Related-party transactions must be at arm’s length with documentation where thresholds are met, and compliance is a QFZP condition. Management fees, IP licences and intra-group services charged on convenience rather than analysis are the usual exposure.</w:t>
      </w:r>
    </w:p>
    <w:p>
      <w:pPr>
        <w:keepNext/>
        <w:spacing w:after="40" w:before="140"/>
      </w:pPr>
      <w:r>
        <w:rPr>
          <w:rFonts w:ascii="Calibri" w:cs="Calibri" w:eastAsia="Calibri" w:hAnsi="Calibri"/>
          <w:b/>
          <w:bCs/>
          <w:color w:val="14161B"/>
          <w:sz w:val="20"/>
          <w:szCs w:val="20"/>
        </w:rPr>
        <w:t xml:space="preserve">Small Business Relief must be elected and is transitional</w:t>
      </w:r>
    </w:p>
    <w:p>
      <w:pPr>
        <w:spacing w:after="60" w:line="264"/>
        <w:jc w:val="both"/>
      </w:pPr>
      <w:r>
        <w:rPr>
          <w:rFonts w:ascii="Calibri" w:cs="Calibri" w:eastAsia="Calibri" w:hAnsi="Calibri"/>
          <w:sz w:val="19"/>
          <w:szCs w:val="19"/>
        </w:rPr>
        <w:t xml:space="preserve">It is available where revenue does not exceed AED 3,000,000 in the current and prior period, must be actively elected, and is available for tax periods ending on or before 31 December 2026. It also interacts with QFZP status — a free zone entity electing it gives up the QFZP position for that period. Model both before choosing.</w:t>
      </w:r>
    </w:p>
    <w:p>
      <w:pPr>
        <w:keepNext/>
        <w:spacing w:after="40" w:before="140"/>
      </w:pPr>
      <w:r>
        <w:rPr>
          <w:rFonts w:ascii="Calibri" w:cs="Calibri" w:eastAsia="Calibri" w:hAnsi="Calibri"/>
          <w:b/>
          <w:bCs/>
          <w:color w:val="14161B"/>
          <w:sz w:val="20"/>
          <w:szCs w:val="20"/>
        </w:rPr>
        <w:t xml:space="preserve">Two different designated zone concepts</w:t>
      </w:r>
    </w:p>
    <w:p>
      <w:pPr>
        <w:spacing w:after="60" w:line="264"/>
        <w:jc w:val="both"/>
      </w:pPr>
      <w:r>
        <w:rPr>
          <w:rFonts w:ascii="Calibri" w:cs="Calibri" w:eastAsia="Calibri" w:hAnsi="Calibri"/>
          <w:sz w:val="19"/>
          <w:szCs w:val="19"/>
        </w:rPr>
        <w:t xml:space="preserve">The VAT designated zone list and the corporate tax qualifying activity analysis are separate regimes with separate lists. A zone designated for VAT purposes tells you nothing conclusive about corporate tax treatment, and conflating them produces confident but wrong advice.</w:t>
      </w:r>
    </w:p>
    <w:p>
      <w:pPr>
        <w:keepNext/>
        <w:spacing w:after="40" w:before="140"/>
      </w:pPr>
      <w:r>
        <w:rPr>
          <w:rFonts w:ascii="Calibri" w:cs="Calibri" w:eastAsia="Calibri" w:hAnsi="Calibri"/>
          <w:b/>
          <w:bCs/>
          <w:color w:val="14161B"/>
          <w:sz w:val="20"/>
          <w:szCs w:val="20"/>
        </w:rPr>
        <w:t xml:space="preserve">Qualifying activity lists change</w:t>
      </w:r>
    </w:p>
    <w:p>
      <w:pPr>
        <w:spacing w:after="60" w:line="264"/>
        <w:jc w:val="both"/>
      </w:pPr>
      <w:r>
        <w:rPr>
          <w:rFonts w:ascii="Calibri" w:cs="Calibri" w:eastAsia="Calibri" w:hAnsi="Calibri"/>
          <w:sz w:val="19"/>
          <w:szCs w:val="19"/>
        </w:rPr>
        <w:t xml:space="preserve">The definition of qualifying and excluded activities has been revised by ministerial decision, with retroactive effect in at least one case. Confirm the current list rather than relying on an earlier analysis, particularly for distribution, financing and IP-related income.</w:t>
      </w:r>
    </w:p>
    <w:p>
      <w:pPr>
        <w:keepNext/>
        <w:spacing w:after="40" w:before="140"/>
      </w:pPr>
      <w:r>
        <w:rPr>
          <w:rFonts w:ascii="Calibri" w:cs="Calibri" w:eastAsia="Calibri" w:hAnsi="Calibri"/>
          <w:b/>
          <w:bCs/>
          <w:color w:val="14161B"/>
          <w:sz w:val="20"/>
          <w:szCs w:val="20"/>
        </w:rPr>
        <w:t xml:space="preserve">Plan the mainland business deliberately</w:t>
      </w:r>
    </w:p>
    <w:p>
      <w:pPr>
        <w:spacing w:after="60" w:line="264"/>
        <w:jc w:val="both"/>
      </w:pPr>
      <w:r>
        <w:rPr>
          <w:rFonts w:ascii="Calibri" w:cs="Calibri" w:eastAsia="Calibri" w:hAnsi="Calibri"/>
          <w:sz w:val="19"/>
          <w:szCs w:val="19"/>
        </w:rPr>
        <w:t xml:space="preserve">Where mainland revenue is genuinely wanted, a mainland branch or subsidiary holding that business protects the free zone entity’s status. It costs more and requires clean separation, but it is materially cheaper than losing the 0% rate for five periods.</w:t>
      </w:r>
    </w:p>
    <w:p>
      <w:pPr>
        <w:keepNext/>
        <w:spacing w:after="40" w:before="140"/>
      </w:pPr>
      <w:r>
        <w:rPr>
          <w:rFonts w:ascii="Calibri" w:cs="Calibri" w:eastAsia="Calibri" w:hAnsi="Calibri"/>
          <w:b/>
          <w:bCs/>
          <w:color w:val="14161B"/>
          <w:sz w:val="20"/>
          <w:szCs w:val="20"/>
        </w:rPr>
        <w:t xml:space="preserve">Seven years of records</w:t>
      </w:r>
    </w:p>
    <w:p>
      <w:pPr>
        <w:spacing w:after="60" w:line="264"/>
        <w:jc w:val="both"/>
      </w:pPr>
      <w:r>
        <w:rPr>
          <w:rFonts w:ascii="Calibri" w:cs="Calibri" w:eastAsia="Calibri" w:hAnsi="Calibri"/>
          <w:sz w:val="19"/>
          <w:szCs w:val="19"/>
        </w:rPr>
        <w:t xml:space="preserve">Contracts, invoices, bank statements and correspondence must be retained for seven years from the end of the tax period. For a QFZP the records also have to evidence the qualifying income analysis, not just the accounting entries.</w:t>
      </w:r>
    </w:p>
    <w:p>
      <w:pPr>
        <w:keepNext/>
        <w:spacing w:after="40" w:before="140"/>
      </w:pPr>
      <w:r>
        <w:rPr>
          <w:rFonts w:ascii="Calibri" w:cs="Calibri" w:eastAsia="Calibri" w:hAnsi="Calibri"/>
          <w:b/>
          <w:bCs/>
          <w:color w:val="14161B"/>
          <w:sz w:val="20"/>
          <w:szCs w:val="20"/>
        </w:rPr>
        <w:t xml:space="preserve">The penalty framework was rewritten</w:t>
      </w:r>
    </w:p>
    <w:p>
      <w:pPr>
        <w:spacing w:after="60" w:line="264"/>
        <w:jc w:val="both"/>
      </w:pPr>
      <w:r>
        <w:rPr>
          <w:rFonts w:ascii="Calibri" w:cs="Calibri" w:eastAsia="Calibri" w:hAnsi="Calibri"/>
          <w:sz w:val="19"/>
          <w:szCs w:val="19"/>
        </w:rPr>
        <w:t xml:space="preserve">The FTA penalty regime was substantially revised with effect from 2026. Penalties for late registration, late filing and errors have changed. Confirm the current schedule rather than working from earlier figures.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47/2022, the Cabinet and Ministerial Decisions defining qualifying income and activities, Small Business Relief availability, Pillar Two rules and the FTA penalty regime all change — confirm the current position with the Federal Tax Authority or a UAE tax adviser before filing, and take advice on any QFZP claim.</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2026-08-23T16:28:33.247Z</dcterms:created>
  <dcterms:modified xsi:type="dcterms:W3CDTF">2026-08-23T16:28:33.247Z</dcterms:modified>
</cp:coreProperties>
</file>

<file path=docProps/custom.xml><?xml version="1.0" encoding="utf-8"?>
<Properties xmlns="http://schemas.openxmlformats.org/officeDocument/2006/custom-properties" xmlns:vt="http://schemas.openxmlformats.org/officeDocument/2006/docPropsVTypes"/>
</file>