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CONVERTIBLE INSTRUMENTS</w:t>
      </w:r>
    </w:p>
    <w:p>
      <w:pPr>
        <w:spacing w:after="260"/>
        <w:jc w:val="center"/>
      </w:pPr>
      <w:r>
        <w:rPr>
          <w:rFonts w:ascii="Calibri" w:cs="Calibri" w:eastAsia="Calibri" w:hAnsi="Calibri"/>
          <w:i/>
          <w:iCs/>
          <w:color w:val="6E7480"/>
          <w:sz w:val="19"/>
          <w:szCs w:val="19"/>
        </w:rPr>
        <w:t xml:space="preserve">SAFEs, convertible notes and bridge funding</w:t>
      </w:r>
    </w:p>
    <w:p>
      <w:pPr>
        <w:spacing w:after="180" w:before="0" w:line="276"/>
        <w:jc w:val="both"/>
      </w:pPr>
      <w:r>
        <w:rPr>
          <w:rFonts w:ascii="Calibri" w:cs="Calibri" w:eastAsia="Calibri" w:hAnsi="Calibri"/>
          <w:i/>
          <w:iCs/>
          <w:color w:val="6E7480"/>
          <w:sz w:val="21"/>
          <w:szCs w:val="21"/>
        </w:rPr>
        <w:t xml:space="preserve">The UAE has no equivalent of Singapore’s CARE or a domestic standard instrument, so what gets used is a </w:t>
      </w:r>
      <w:r>
        <w:rPr>
          <w:rFonts w:ascii="Calibri" w:cs="Calibri" w:eastAsia="Calibri" w:hAnsi="Calibri"/>
          <w:b/>
          <w:bCs/>
          <w:i/>
          <w:iCs/>
          <w:color w:val="6E7480"/>
          <w:sz w:val="21"/>
          <w:szCs w:val="21"/>
        </w:rPr>
        <w:t xml:space="preserve">SAFE or convertible note adapted from elsewhere</w:t>
      </w:r>
      <w:r>
        <w:rPr>
          <w:rFonts w:ascii="Calibri" w:cs="Calibri" w:eastAsia="Calibri" w:hAnsi="Calibri"/>
          <w:i/>
          <w:iCs/>
          <w:color w:val="6E7480"/>
          <w:sz w:val="21"/>
          <w:szCs w:val="21"/>
        </w:rPr>
        <w:t xml:space="preserve"> — usually issued by an ADGM, DIFC or offshore holding company rather than a mainland LLC, because mainland share mechanics make conversion impractical.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Issuing 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[ADGM / DIFC / offshore holdco / mainland LLC]</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Can this entity actually convert?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Section 1</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Instrument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[SAFE / Convertible note]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Valuation cap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Discount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[20]</w:t>
            </w:r>
            <w:r>
              <w:rPr>
                <w:rFonts w:ascii="Calibri" w:cs="Calibri" w:eastAsia="Calibri" w:hAnsi="Calibri"/>
                <w:sz w:val="19"/>
                <w:szCs w:val="19"/>
              </w:rPr>
              <w:t xml:space="preserve"> per cent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Qualifying financing threshold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[Interest — notes only]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per cent per annum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[Maturity — notes only]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[ADGM / DIFC / other]</w:t>
            </w:r>
          </w:p>
        </w:tc>
      </w:tr>
    </w:tbl>
    <w:p>
      <w:pPr>
        <w:spacing w:after="180"/>
      </w:pPr>
    </w:p>
    <w:p>
      <w:pPr>
        <w:keepNext/>
        <w:spacing w:after="120" w:before="280"/>
        <w:outlineLvl w:val="0"/>
      </w:pPr>
      <w:r>
        <w:rPr>
          <w:rFonts w:ascii="Calibri" w:cs="Calibri" w:eastAsia="Calibri" w:hAnsi="Calibri"/>
          <w:b/>
          <w:bCs/>
          <w:color w:val="14161B"/>
          <w:sz w:val="22"/>
          <w:szCs w:val="22"/>
        </w:rPr>
        <w:t xml:space="preserve">1. CAN THE ENTITY CONVERT?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4433"/>
        <w:gridCol w:w="3085"/>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Issuing entity</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Conversion mechanics</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Verdict</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LLC</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share issue needs a notarised MOA amendment and DED approval; classes are constrained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Impractical</w:t>
            </w:r>
            <w:r>
              <w:rPr>
                <w:rFonts w:ascii="Calibri" w:cs="Calibri" w:eastAsia="Calibri" w:hAnsi="Calibri"/>
                <w:sz w:val="17"/>
                <w:szCs w:val="17"/>
              </w:rPr>
              <w:t xml:space="preserve"> — conversion takes weeks and needs the investor at a notary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company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Depends on the zone — some support classes and straightforward issues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with the zone]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ADGM or DIFC</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Common-law share mechanics, board resolution and register update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Workable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Offshore holdco</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its own jurisdiction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 in practice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Ask this before signing anything. An investor who puts money into a mainland LLC on a convertible instrument may find that converting requires a notary appointment, an attested power of attorney if they are overseas, DED approval and a licence amendment — at the exact moment a priced round is trying to close.</w:t>
      </w:r>
    </w:p>
    <w:p>
      <w:pPr>
        <w:keepNext/>
        <w:spacing w:after="120" w:before="280"/>
        <w:outlineLvl w:val="0"/>
      </w:pPr>
      <w:r>
        <w:rPr>
          <w:rFonts w:ascii="Calibri" w:cs="Calibri" w:eastAsia="Calibri" w:hAnsi="Calibri"/>
          <w:b/>
          <w:bCs/>
          <w:color w:val="14161B"/>
          <w:sz w:val="22"/>
          <w:szCs w:val="22"/>
        </w:rPr>
        <w:t xml:space="preserve">2. SAFE OR NOTE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3855"/>
        <w:gridCol w:w="3856"/>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SAFE-style instrument</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Convertible note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Legal nature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right to future equity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Debt</w:t>
            </w:r>
            <w:r>
              <w:rPr>
                <w:rFonts w:ascii="Calibri" w:cs="Calibri" w:eastAsia="Calibri" w:hAnsi="Calibri"/>
                <w:sz w:val="17"/>
                <w:szCs w:val="17"/>
              </w:rPr>
              <w:t xml:space="preserve"> until converted</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[6–10]</w:t>
            </w:r>
            <w:r>
              <w:rPr>
                <w:rFonts w:ascii="Calibri" w:cs="Calibri" w:eastAsia="Calibri" w:hAnsi="Calibri"/>
                <w:sz w:val="17"/>
                <w:szCs w:val="17"/>
              </w:rPr>
              <w:t xml:space="preserve"> per cent</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Maturity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 — repayable if not converted</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Repayment risk</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Real</w:t>
            </w:r>
            <w:r>
              <w:rPr>
                <w:rFonts w:ascii="Calibri" w:cs="Calibri" w:eastAsia="Calibri" w:hAnsi="Calibri"/>
                <w:sz w:val="17"/>
                <w:szCs w:val="17"/>
              </w:rPr>
              <w:t xml:space="preserve"> — becomes payable at maturity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balance sheet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equity-like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liability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dissolution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Ranks </w:t>
            </w:r>
            <w:r>
              <w:rPr>
                <w:rFonts w:ascii="Calibri" w:cs="Calibri" w:eastAsia="Calibri" w:hAnsi="Calibri"/>
                <w:b/>
                <w:bCs/>
                <w:sz w:val="17"/>
                <w:szCs w:val="17"/>
              </w:rPr>
              <w:t xml:space="preserve">[ahead of ordinary shares]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Ranks as a </w:t>
            </w:r>
            <w:r>
              <w:rPr>
                <w:rFonts w:ascii="Calibri" w:cs="Calibri" w:eastAsia="Calibri" w:hAnsi="Calibri"/>
                <w:b/>
                <w:bCs/>
                <w:sz w:val="17"/>
                <w:szCs w:val="17"/>
              </w:rPr>
              <w:t xml:space="preserve">creditor</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Lending regulation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 loan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the position</w:t>
            </w:r>
            <w:r>
              <w:rPr>
                <w:rFonts w:ascii="Calibri" w:cs="Calibri" w:eastAsia="Calibri" w:hAnsi="Calibri"/>
                <w:sz w:val="17"/>
                <w:szCs w:val="17"/>
              </w:rPr>
              <w:t xml:space="preserve"> — it is a loan</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Suits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Early rounds; speed and simplicity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Investors wanting downside protection</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 drawback</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Dilution invisible until conversion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Maturity can arrive before the next round</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A convertible note is a loan. Where the lender is in the business of lending, regulatory questions arise; where it is a one-off investment, generally not. Confirm rather than assume — and note that a note issued by a mainland entity to a related party also engages transfer pricing on the interest rate.</w:t>
      </w:r>
    </w:p>
    <w:p>
      <w:pPr>
        <w:keepNext/>
        <w:spacing w:after="120" w:before="280"/>
        <w:outlineLvl w:val="0"/>
      </w:pPr>
      <w:r>
        <w:rPr>
          <w:rFonts w:ascii="Calibri" w:cs="Calibri" w:eastAsia="Calibri" w:hAnsi="Calibri"/>
          <w:b/>
          <w:bCs/>
          <w:color w:val="14161B"/>
          <w:sz w:val="22"/>
          <w:szCs w:val="22"/>
        </w:rPr>
        <w:t xml:space="preserve">3. CONVERSION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instrument converts on a </w:t>
      </w:r>
      <w:r>
        <w:rPr>
          <w:rFonts w:ascii="Calibri" w:cs="Calibri" w:eastAsia="Calibri" w:hAnsi="Calibri"/>
          <w:b/>
          <w:bCs/>
          <w:sz w:val="21"/>
          <w:szCs w:val="21"/>
        </w:rPr>
        <w:t xml:space="preserve">qualifying financing</w:t>
      </w:r>
      <w:r>
        <w:rPr>
          <w:rFonts w:ascii="Calibri" w:cs="Calibri" w:eastAsia="Calibri" w:hAnsi="Calibri"/>
          <w:sz w:val="21"/>
          <w:szCs w:val="21"/>
        </w:rPr>
        <w:t xml:space="preserve"> — an equity round raising at least </w:t>
      </w:r>
      <w:r>
        <w:rPr>
          <w:rFonts w:ascii="Calibri" w:cs="Calibri" w:eastAsia="Calibri" w:hAnsi="Calibri"/>
          <w:b/>
          <w:bCs/>
          <w:sz w:val="21"/>
          <w:szCs w:val="21"/>
        </w:rPr>
        <w:t xml:space="preserve">[CURRENCY]</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conversion price is the </w:t>
      </w:r>
      <w:r>
        <w:rPr>
          <w:rFonts w:ascii="Calibri" w:cs="Calibri" w:eastAsia="Calibri" w:hAnsi="Calibri"/>
          <w:b/>
          <w:bCs/>
          <w:sz w:val="21"/>
          <w:szCs w:val="21"/>
        </w:rPr>
        <w:t xml:space="preserve">lower</w:t>
      </w:r>
      <w:r>
        <w:rPr>
          <w:rFonts w:ascii="Calibri" w:cs="Calibri" w:eastAsia="Calibri" w:hAnsi="Calibri"/>
          <w:sz w:val="21"/>
          <w:szCs w:val="21"/>
        </w:rPr>
        <w:t xml:space="preserve"> of the price in that round </w:t>
      </w:r>
      <w:r>
        <w:rPr>
          <w:rFonts w:ascii="Calibri" w:cs="Calibri" w:eastAsia="Calibri" w:hAnsi="Calibri"/>
          <w:b/>
          <w:bCs/>
          <w:sz w:val="21"/>
          <w:szCs w:val="21"/>
        </w:rPr>
        <w:t xml:space="preserve">less the discount</w:t>
      </w:r>
      <w:r>
        <w:rPr>
          <w:rFonts w:ascii="Calibri" w:cs="Calibri" w:eastAsia="Calibri" w:hAnsi="Calibri"/>
          <w:sz w:val="21"/>
          <w:szCs w:val="21"/>
        </w:rPr>
        <w:t xml:space="preserve"> of </w:t>
      </w:r>
      <w:r>
        <w:rPr>
          <w:rFonts w:ascii="Calibri" w:cs="Calibri" w:eastAsia="Calibri" w:hAnsi="Calibri"/>
          <w:b/>
          <w:bCs/>
          <w:sz w:val="21"/>
          <w:szCs w:val="21"/>
        </w:rPr>
        <w:t xml:space="preserve">[20]</w:t>
      </w:r>
      <w:r>
        <w:rPr>
          <w:rFonts w:ascii="Calibri" w:cs="Calibri" w:eastAsia="Calibri" w:hAnsi="Calibri"/>
          <w:sz w:val="21"/>
          <w:szCs w:val="21"/>
        </w:rPr>
        <w:t xml:space="preserve"> per cent, and the price implied by the </w:t>
      </w:r>
      <w:r>
        <w:rPr>
          <w:rFonts w:ascii="Calibri" w:cs="Calibri" w:eastAsia="Calibri" w:hAnsi="Calibri"/>
          <w:b/>
          <w:bCs/>
          <w:sz w:val="21"/>
          <w:szCs w:val="21"/>
        </w:rPr>
        <w:t xml:space="preserve">valuation cap</w:t>
      </w:r>
      <w:r>
        <w:rPr>
          <w:rFonts w:ascii="Calibri" w:cs="Calibri" w:eastAsia="Calibri" w:hAnsi="Calibri"/>
          <w:sz w:val="21"/>
          <w:szCs w:val="21"/>
        </w:rPr>
        <w:t xml:space="preserve"> applied to the </w:t>
      </w:r>
      <w:r>
        <w:rPr>
          <w:rFonts w:ascii="Calibri" w:cs="Calibri" w:eastAsia="Calibri" w:hAnsi="Calibri"/>
          <w:b/>
          <w:bCs/>
          <w:sz w:val="21"/>
          <w:szCs w:val="21"/>
        </w:rPr>
        <w:t xml:space="preserve">[fully diluted]</w:t>
      </w:r>
      <w:r>
        <w:rPr>
          <w:rFonts w:ascii="Calibri" w:cs="Calibri" w:eastAsia="Calibri" w:hAnsi="Calibri"/>
          <w:sz w:val="21"/>
          <w:szCs w:val="21"/>
        </w:rPr>
        <w:t xml:space="preserve"> capitalisation.</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Both mechanisms reward earlier risk. </w:t>
      </w:r>
      <w:r>
        <w:rPr>
          <w:rFonts w:ascii="Calibri" w:cs="Calibri" w:eastAsia="Calibri" w:hAnsi="Calibri"/>
          <w:b/>
          <w:bCs/>
          <w:sz w:val="21"/>
          <w:szCs w:val="21"/>
        </w:rPr>
        <w:t xml:space="preserve">Where the round prices above the cap, the cap governs and the discount is irrelevant.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2120"/>
        <w:gridCol w:w="2891"/>
        <w:gridCol w:w="2122"/>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Scenario</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Round pre-money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Conversion price</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Which applies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Below the cap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[4m]</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[Round price less 20%]</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Discount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the cap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[6m]</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[Round price less 20%]</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Discount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the cap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[12m]</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 price]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Far above the cap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[30m]</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 price]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w:t>
            </w:r>
          </w:p>
        </w:tc>
      </w:tr>
    </w:tbl>
    <w:p>
      <w:pPr>
        <w:spacing w:after="140"/>
      </w:pP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Founders focus on the discount because the number is larger. The cap is what decides dilution in a good outcome. Model the high case, not the expected one.</w:t>
      </w:r>
    </w:p>
    <w:p>
      <w:pPr>
        <w:keepNext/>
        <w:spacing w:after="120" w:before="280"/>
        <w:outlineLvl w:val="0"/>
      </w:pPr>
      <w:r>
        <w:rPr>
          <w:rFonts w:ascii="Calibri" w:cs="Calibri" w:eastAsia="Calibri" w:hAnsi="Calibri"/>
          <w:b/>
          <w:bCs/>
          <w:color w:val="14161B"/>
          <w:sz w:val="22"/>
          <w:szCs w:val="22"/>
        </w:rPr>
        <w:t xml:space="preserve">4. OTHER EVENTS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662"/>
        <w:gridCol w:w="3471"/>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Event</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SAFE-style</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Qualifying financing</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Converts at the lower of discount and cap price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Non-qualifying financing</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[Converts at the investor’s option / does not convert]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 specify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Change of control before conversion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greater of the amount invested or converted value]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w:t>
            </w:r>
            <w:r>
              <w:rPr>
                <w:rFonts w:ascii="Calibri" w:cs="Calibri" w:eastAsia="Calibri" w:hAnsi="Calibri"/>
                <w:b/>
                <w:bCs/>
                <w:sz w:val="17"/>
                <w:szCs w:val="17"/>
              </w:rPr>
              <w:t xml:space="preserve">[plus accrued interest]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Maturity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applicable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[Repayable / converts at a stated valuation / extends by agreement]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Dissolution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Ranks ahead of ordinary shares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Ranks as a creditor</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Nothing happens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Remains outstanding</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Becomes repayable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Decide expressly what happens at </w:t>
      </w:r>
      <w:r>
        <w:rPr>
          <w:rFonts w:ascii="Calibri" w:cs="Calibri" w:eastAsia="Calibri" w:hAnsi="Calibri"/>
          <w:b/>
          <w:bCs/>
          <w:sz w:val="21"/>
          <w:szCs w:val="21"/>
        </w:rPr>
        <w:t xml:space="preserve">maturity</w:t>
      </w:r>
      <w:r>
        <w:rPr>
          <w:rFonts w:ascii="Calibri" w:cs="Calibri" w:eastAsia="Calibri" w:hAnsi="Calibri"/>
          <w:sz w:val="21"/>
          <w:szCs w:val="21"/>
        </w:rPr>
        <w:t xml:space="preserve"> and on a </w:t>
      </w:r>
      <w:r>
        <w:rPr>
          <w:rFonts w:ascii="Calibri" w:cs="Calibri" w:eastAsia="Calibri" w:hAnsi="Calibri"/>
          <w:b/>
          <w:bCs/>
          <w:sz w:val="21"/>
          <w:szCs w:val="21"/>
        </w:rPr>
        <w:t xml:space="preserve">change of control</w:t>
      </w:r>
      <w:r>
        <w:rPr>
          <w:rFonts w:ascii="Calibri" w:cs="Calibri" w:eastAsia="Calibri" w:hAnsi="Calibri"/>
          <w:sz w:val="21"/>
          <w:szCs w:val="21"/>
        </w:rPr>
        <w:t xml:space="preserve">. Silence on either produces the most expensive arguments in this document.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TERMS TO SETTLE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636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Valuation cap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consequential term — model the high case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Typically 15 to 25 per cent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 applied to what capitalisation?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Fully diluted including the pool changes the answer materially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Qualifying financing threshold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Too low and a small bridge triggers conversion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Conversion security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class issued in the round, or a shadow class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Most favoured nation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Benefit of better terms given to later holders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 rata rights in the next round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Reasonable for a meaningful investor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rights before conversion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light — not yet a shareholder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 rights before conversion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Resist</w:t>
            </w:r>
            <w:r>
              <w:rPr>
                <w:rFonts w:ascii="Calibri" w:cs="Calibri" w:eastAsia="Calibri" w:hAnsi="Calibri"/>
                <w:sz w:val="17"/>
                <w:szCs w:val="17"/>
              </w:rPr>
              <w:t xml:space="preserve"> — an unconverted holder should not control the company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 and whether it converts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Accruing interest that converts increases dilution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Maturity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Allow real runway to the next round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restrictions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Prevents the instrument reaching an unwanted holder</w:t>
            </w:r>
          </w:p>
        </w:tc>
      </w:tr>
    </w:tbl>
    <w:p>
      <w:pPr>
        <w:spacing w:after="140"/>
      </w:pPr>
    </w:p>
    <w:p>
      <w:pPr>
        <w:keepNext/>
        <w:spacing w:after="120" w:before="280"/>
        <w:outlineLvl w:val="0"/>
      </w:pPr>
      <w:r>
        <w:rPr>
          <w:rFonts w:ascii="Calibri" w:cs="Calibri" w:eastAsia="Calibri" w:hAnsi="Calibri"/>
          <w:b/>
          <w:bCs/>
          <w:color w:val="14161B"/>
          <w:sz w:val="22"/>
          <w:szCs w:val="22"/>
        </w:rPr>
        <w:t xml:space="preserve">6. STACKING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several instruments are issued at different caps and discounts, each converts on its own terms in the same round.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Model cumulative dilution before issuing another.</w:t>
      </w:r>
      <w:r>
        <w:rPr>
          <w:rFonts w:ascii="Calibri" w:cs="Calibri" w:eastAsia="Calibri" w:hAnsi="Calibri"/>
          <w:sz w:val="21"/>
          <w:szCs w:val="21"/>
        </w:rPr>
        <w:t xml:space="preserve"> Founders raising repeatedly on convertibles regularly discover at the priced round that the aggregate conversion takes far more of the company than any individual instrument suggested.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734"/>
        <w:gridCol w:w="1252"/>
        <w:gridCol w:w="1252"/>
        <w:gridCol w:w="1060"/>
        <w:gridCol w:w="1060"/>
        <w:gridCol w:w="1542"/>
        <w:gridCol w:w="135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Holder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Discount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Converts to (est.)</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 (est.)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left"/>
            </w:pPr>
          </w:p>
        </w:tc>
        <w:tc>
          <w:tcPr>
            <w:tcW w:type="dxa" w:w="1060"/>
            <w:tcMar>
              <w:top w:type="dxa" w:w="70"/>
              <w:left w:type="dxa" w:w="100"/>
              <w:bottom w:type="dxa" w:w="70"/>
              <w:right w:type="dxa" w:w="100"/>
            </w:tcMar>
            <w:vAlign w:val="center"/>
          </w:tcPr>
          <w:p>
            <w:pPr>
              <w:spacing w:after="0" w:line="240"/>
              <w:jc w:val="left"/>
            </w:pPr>
          </w:p>
        </w:tc>
        <w:tc>
          <w:tcPr>
            <w:tcW w:type="dxa" w:w="1060"/>
            <w:tcMar>
              <w:top w:type="dxa" w:w="70"/>
              <w:left w:type="dxa" w:w="100"/>
              <w:bottom w:type="dxa" w:w="70"/>
              <w:right w:type="dxa" w:w="100"/>
            </w:tcMar>
            <w:vAlign w:val="center"/>
          </w:tcPr>
          <w:p>
            <w:pPr>
              <w:spacing w:after="0" w:line="240"/>
              <w:jc w:val="left"/>
            </w:pP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bl>
    <w:p>
      <w:pPr>
        <w:spacing w:after="160"/>
      </w:pPr>
    </w:p>
    <w:p>
      <w:pPr>
        <w:keepNext/>
        <w:spacing w:after="120" w:before="280"/>
        <w:outlineLvl w:val="0"/>
      </w:pPr>
      <w:r>
        <w:rPr>
          <w:rFonts w:ascii="Calibri" w:cs="Calibri" w:eastAsia="Calibri" w:hAnsi="Calibri"/>
          <w:b/>
          <w:bCs/>
          <w:color w:val="14161B"/>
          <w:sz w:val="22"/>
          <w:szCs w:val="22"/>
        </w:rPr>
        <w:t xml:space="preserve">7. ON CONVERSION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424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Conversion price computed and agreed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closing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Constitutional documents amended where a class is created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Notarised if mainland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and shareholder approvals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Notarised if mainland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Pre-emption complied with or waived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 writing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Shares issued and register updated</w:t>
            </w:r>
          </w:p>
        </w:tc>
        <w:tc>
          <w:tcPr>
            <w:tcW w:type="dxa" w:w="4242"/>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Deed of adherence to the shareholders’ agreement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Otherwise the holder is unbound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Regulatory filing where required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Return of allotment, licence amendment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UBO register updated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holder crosses the threshold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 table reconciled</w:t>
            </w:r>
          </w:p>
        </w:tc>
        <w:tc>
          <w:tcPr>
            <w:tcW w:type="dxa" w:w="4242"/>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holders told what conversion does to their percentage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Rarely done, always noticed</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Confirm the entity can actually convert</w:t>
      </w:r>
    </w:p>
    <w:p>
      <w:pPr>
        <w:spacing w:after="60" w:line="264"/>
        <w:jc w:val="both"/>
      </w:pPr>
      <w:r>
        <w:rPr>
          <w:rFonts w:ascii="Calibri" w:cs="Calibri" w:eastAsia="Calibri" w:hAnsi="Calibri"/>
          <w:sz w:val="19"/>
          <w:szCs w:val="19"/>
        </w:rPr>
        <w:t xml:space="preserve">A mainland LLC makes conversion impractical — notarised MOA amendment, DED approval, licence amendment, and the investor or an attested attorney at a notary. That is weeks of process arriving exactly when a priced round is closing. Issue convertibles from an ADGM, DIFC or offshore entity, or accept the friction knowingly.</w:t>
      </w:r>
    </w:p>
    <w:p>
      <w:pPr>
        <w:keepNext/>
        <w:spacing w:after="40" w:before="140"/>
      </w:pPr>
      <w:r>
        <w:rPr>
          <w:rFonts w:ascii="Calibri" w:cs="Calibri" w:eastAsia="Calibri" w:hAnsi="Calibri"/>
          <w:b/>
          <w:bCs/>
          <w:color w:val="14161B"/>
          <w:sz w:val="20"/>
          <w:szCs w:val="20"/>
        </w:rPr>
        <w:t xml:space="preserve">There is no UAE standard instrument</w:t>
      </w:r>
    </w:p>
    <w:p>
      <w:pPr>
        <w:spacing w:after="60" w:line="264"/>
        <w:jc w:val="both"/>
      </w:pPr>
      <w:r>
        <w:rPr>
          <w:rFonts w:ascii="Calibri" w:cs="Calibri" w:eastAsia="Calibri" w:hAnsi="Calibri"/>
          <w:sz w:val="19"/>
          <w:szCs w:val="19"/>
        </w:rPr>
        <w:t xml:space="preserve">Unlike Singapore, which publishes the CARE as part of a free model suite, the UAE has no domestic standard. What circulates is adapted from US or English precedents, sometimes without adjusting the conversion mechanics to the entity actually issuing it. Read the mechanics against your entity.</w:t>
      </w:r>
    </w:p>
    <w:p>
      <w:pPr>
        <w:keepNext/>
        <w:spacing w:after="40" w:before="140"/>
      </w:pPr>
      <w:r>
        <w:rPr>
          <w:rFonts w:ascii="Calibri" w:cs="Calibri" w:eastAsia="Calibri" w:hAnsi="Calibri"/>
          <w:b/>
          <w:bCs/>
          <w:color w:val="14161B"/>
          <w:sz w:val="20"/>
          <w:szCs w:val="20"/>
        </w:rPr>
        <w:t xml:space="preserve">A note is a loan; a SAFE is not</w:t>
      </w:r>
    </w:p>
    <w:p>
      <w:pPr>
        <w:spacing w:after="60" w:line="264"/>
        <w:jc w:val="both"/>
      </w:pPr>
      <w:r>
        <w:rPr>
          <w:rFonts w:ascii="Calibri" w:cs="Calibri" w:eastAsia="Calibri" w:hAnsi="Calibri"/>
          <w:sz w:val="19"/>
          <w:szCs w:val="19"/>
        </w:rPr>
        <w:t xml:space="preserve">The note accrues interest, matures, and ranks as debt on a dissolution. The SAFE-style instrument has no maturity and no repayment obligation. That difference is the whole choice, and it determines what happens if the next round is late.</w:t>
      </w:r>
    </w:p>
    <w:p>
      <w:pPr>
        <w:keepNext/>
        <w:spacing w:after="40" w:before="140"/>
      </w:pPr>
      <w:r>
        <w:rPr>
          <w:rFonts w:ascii="Calibri" w:cs="Calibri" w:eastAsia="Calibri" w:hAnsi="Calibri"/>
          <w:b/>
          <w:bCs/>
          <w:color w:val="14161B"/>
          <w:sz w:val="20"/>
          <w:szCs w:val="20"/>
        </w:rPr>
        <w:t xml:space="preserve">Maturity is the risk founders underestimate</w:t>
      </w:r>
    </w:p>
    <w:p>
      <w:pPr>
        <w:spacing w:after="60" w:line="264"/>
        <w:jc w:val="both"/>
      </w:pPr>
      <w:r>
        <w:rPr>
          <w:rFonts w:ascii="Calibri" w:cs="Calibri" w:eastAsia="Calibri" w:hAnsi="Calibri"/>
          <w:sz w:val="19"/>
          <w:szCs w:val="19"/>
        </w:rPr>
        <w:t xml:space="preserve">If the next round has not closed by the maturity date the note becomes repayable, typically when the company has least cash. It gets renegotiated in practice, but from a weak position. Either allow generous runway or specify what happens at maturity other than repayment.</w:t>
      </w:r>
    </w:p>
    <w:p>
      <w:pPr>
        <w:keepNext/>
        <w:spacing w:after="40" w:before="140"/>
      </w:pPr>
      <w:r>
        <w:rPr>
          <w:rFonts w:ascii="Calibri" w:cs="Calibri" w:eastAsia="Calibri" w:hAnsi="Calibri"/>
          <w:b/>
          <w:bCs/>
          <w:color w:val="14161B"/>
          <w:sz w:val="20"/>
          <w:szCs w:val="20"/>
        </w:rPr>
        <w:t xml:space="preserve">The cap matters more than the discount</w:t>
      </w:r>
    </w:p>
    <w:p>
      <w:pPr>
        <w:spacing w:after="60" w:line="264"/>
        <w:jc w:val="both"/>
      </w:pPr>
      <w:r>
        <w:rPr>
          <w:rFonts w:ascii="Calibri" w:cs="Calibri" w:eastAsia="Calibri" w:hAnsi="Calibri"/>
          <w:sz w:val="19"/>
          <w:szCs w:val="19"/>
        </w:rPr>
        <w:t xml:space="preserve">Where the next round prices above the cap, the cap determines the conversion price entirely and the discount is irrelevant. Founders focus on the discount because the percentage looks larger; the cap is what decides dilution in a good outcome.</w:t>
      </w:r>
    </w:p>
    <w:p>
      <w:pPr>
        <w:keepNext/>
        <w:spacing w:after="40" w:before="140"/>
      </w:pPr>
      <w:r>
        <w:rPr>
          <w:rFonts w:ascii="Calibri" w:cs="Calibri" w:eastAsia="Calibri" w:hAnsi="Calibri"/>
          <w:b/>
          <w:bCs/>
          <w:color w:val="14161B"/>
          <w:sz w:val="20"/>
          <w:szCs w:val="20"/>
        </w:rPr>
        <w:t xml:space="preserve">Define what the cap applies to</w:t>
      </w:r>
    </w:p>
    <w:p>
      <w:pPr>
        <w:spacing w:after="60" w:line="264"/>
        <w:jc w:val="both"/>
      </w:pPr>
      <w:r>
        <w:rPr>
          <w:rFonts w:ascii="Calibri" w:cs="Calibri" w:eastAsia="Calibri" w:hAnsi="Calibri"/>
          <w:sz w:val="19"/>
          <w:szCs w:val="19"/>
        </w:rPr>
        <w:t xml:space="preserve">A cap applied to fully diluted capitalisation including the option pool produces a different price from one applied pre-money or excluding the pool. "Valuation cap" alone does not settle it, and the difference is material.</w:t>
      </w:r>
    </w:p>
    <w:p>
      <w:pPr>
        <w:keepNext/>
        <w:spacing w:after="40" w:before="140"/>
      </w:pPr>
      <w:r>
        <w:rPr>
          <w:rFonts w:ascii="Calibri" w:cs="Calibri" w:eastAsia="Calibri" w:hAnsi="Calibri"/>
          <w:b/>
          <w:bCs/>
          <w:color w:val="14161B"/>
          <w:sz w:val="20"/>
          <w:szCs w:val="20"/>
        </w:rPr>
        <w:t xml:space="preserve">Stacking is where the real dilution appears</w:t>
      </w:r>
    </w:p>
    <w:p>
      <w:pPr>
        <w:spacing w:after="60" w:line="264"/>
        <w:jc w:val="both"/>
      </w:pPr>
      <w:r>
        <w:rPr>
          <w:rFonts w:ascii="Calibri" w:cs="Calibri" w:eastAsia="Calibri" w:hAnsi="Calibri"/>
          <w:sz w:val="19"/>
          <w:szCs w:val="19"/>
        </w:rPr>
        <w:t xml:space="preserve">Several instruments issued over eighteen months at different caps convert together. The aggregate is routinely far larger than founders expect from any single instrument. Maintain the table in Section 6 and update it before issuing another.</w:t>
      </w:r>
    </w:p>
    <w:p>
      <w:pPr>
        <w:keepNext/>
        <w:spacing w:after="40" w:before="140"/>
      </w:pPr>
      <w:r>
        <w:rPr>
          <w:rFonts w:ascii="Calibri" w:cs="Calibri" w:eastAsia="Calibri" w:hAnsi="Calibri"/>
          <w:b/>
          <w:bCs/>
          <w:color w:val="14161B"/>
          <w:sz w:val="20"/>
          <w:szCs w:val="20"/>
        </w:rPr>
        <w:t xml:space="preserve">Resist consent rights before conversion</w:t>
      </w:r>
    </w:p>
    <w:p>
      <w:pPr>
        <w:spacing w:after="60" w:line="264"/>
        <w:jc w:val="both"/>
      </w:pPr>
      <w:r>
        <w:rPr>
          <w:rFonts w:ascii="Calibri" w:cs="Calibri" w:eastAsia="Calibri" w:hAnsi="Calibri"/>
          <w:sz w:val="19"/>
          <w:szCs w:val="19"/>
        </w:rPr>
        <w:t xml:space="preserve">A holder who is not yet a shareholder should not have veto rights over operations. Information rights are reasonable; reserved matters create a second control layer alongside the eventual equity documents.</w:t>
      </w:r>
    </w:p>
    <w:p>
      <w:pPr>
        <w:keepNext/>
        <w:spacing w:after="40" w:before="140"/>
      </w:pPr>
      <w:r>
        <w:rPr>
          <w:rFonts w:ascii="Calibri" w:cs="Calibri" w:eastAsia="Calibri" w:hAnsi="Calibri"/>
          <w:b/>
          <w:bCs/>
          <w:color w:val="14161B"/>
          <w:sz w:val="20"/>
          <w:szCs w:val="20"/>
        </w:rPr>
        <w:t xml:space="preserve">Decide the change of control outcome now</w:t>
      </w:r>
    </w:p>
    <w:p>
      <w:pPr>
        <w:spacing w:after="60" w:line="264"/>
        <w:jc w:val="both"/>
      </w:pPr>
      <w:r>
        <w:rPr>
          <w:rFonts w:ascii="Calibri" w:cs="Calibri" w:eastAsia="Calibri" w:hAnsi="Calibri"/>
          <w:sz w:val="19"/>
          <w:szCs w:val="19"/>
        </w:rPr>
        <w:t xml:space="preserve">If the company is acquired before conversion, does the investor take their money back, a multiple, or their converted share? Silence produces the most expensive argument in the instrument. Specify it, and specify whether accrued interest is included.</w:t>
      </w:r>
    </w:p>
    <w:p>
      <w:pPr>
        <w:keepNext/>
        <w:spacing w:after="40" w:before="140"/>
      </w:pPr>
      <w:r>
        <w:rPr>
          <w:rFonts w:ascii="Calibri" w:cs="Calibri" w:eastAsia="Calibri" w:hAnsi="Calibri"/>
          <w:b/>
          <w:bCs/>
          <w:color w:val="14161B"/>
          <w:sz w:val="20"/>
          <w:szCs w:val="20"/>
        </w:rPr>
        <w:t xml:space="preserve">Check the lending position for notes</w:t>
      </w:r>
    </w:p>
    <w:p>
      <w:pPr>
        <w:spacing w:after="60" w:line="264"/>
        <w:jc w:val="both"/>
      </w:pPr>
      <w:r>
        <w:rPr>
          <w:rFonts w:ascii="Calibri" w:cs="Calibri" w:eastAsia="Calibri" w:hAnsi="Calibri"/>
          <w:sz w:val="19"/>
          <w:szCs w:val="19"/>
        </w:rPr>
        <w:t xml:space="preserve">A convertible note is a loan. Where the lender is carrying on a lending business, regulatory questions arise. Where a mainland entity issues a note to a related party, the interest rate also engages transfer pricing. Confirm both rather than assuming.</w:t>
      </w:r>
    </w:p>
    <w:p>
      <w:pPr>
        <w:keepNext/>
        <w:spacing w:after="40" w:before="140"/>
      </w:pPr>
      <w:r>
        <w:rPr>
          <w:rFonts w:ascii="Calibri" w:cs="Calibri" w:eastAsia="Calibri" w:hAnsi="Calibri"/>
          <w:b/>
          <w:bCs/>
          <w:color w:val="14161B"/>
          <w:sz w:val="20"/>
          <w:szCs w:val="20"/>
        </w:rPr>
        <w:t xml:space="preserve">Accruing interest converts into more shares</w:t>
      </w:r>
    </w:p>
    <w:p>
      <w:pPr>
        <w:spacing w:after="60" w:line="264"/>
        <w:jc w:val="both"/>
      </w:pPr>
      <w:r>
        <w:rPr>
          <w:rFonts w:ascii="Calibri" w:cs="Calibri" w:eastAsia="Calibri" w:hAnsi="Calibri"/>
          <w:sz w:val="19"/>
          <w:szCs w:val="19"/>
        </w:rPr>
        <w:t xml:space="preserve">Where interest accrues and converts with principal, dilution is larger than the principal alone suggests and grows the longer the round takes. Model conversion at the realistic date, not the earliest.</w:t>
      </w:r>
    </w:p>
    <w:p>
      <w:pPr>
        <w:keepNext/>
        <w:spacing w:after="40" w:before="140"/>
      </w:pPr>
      <w:r>
        <w:rPr>
          <w:rFonts w:ascii="Calibri" w:cs="Calibri" w:eastAsia="Calibri" w:hAnsi="Calibri"/>
          <w:b/>
          <w:bCs/>
          <w:color w:val="14161B"/>
          <w:sz w:val="20"/>
          <w:szCs w:val="20"/>
        </w:rPr>
        <w:t xml:space="preserve">Set the qualifying threshold sensibly</w:t>
      </w:r>
    </w:p>
    <w:p>
      <w:pPr>
        <w:spacing w:after="60" w:line="264"/>
        <w:jc w:val="both"/>
      </w:pPr>
      <w:r>
        <w:rPr>
          <w:rFonts w:ascii="Calibri" w:cs="Calibri" w:eastAsia="Calibri" w:hAnsi="Calibri"/>
          <w:sz w:val="19"/>
          <w:szCs w:val="19"/>
        </w:rPr>
        <w:t xml:space="preserve">Too low and a small bridge triggers conversion at a price nobody intended. Too high and a genuine financing does not trigger it. Set it at a level that clearly signals a real priced round.</w:t>
      </w:r>
    </w:p>
    <w:p>
      <w:pPr>
        <w:keepNext/>
        <w:spacing w:after="40" w:before="140"/>
      </w:pPr>
      <w:r>
        <w:rPr>
          <w:rFonts w:ascii="Calibri" w:cs="Calibri" w:eastAsia="Calibri" w:hAnsi="Calibri"/>
          <w:b/>
          <w:bCs/>
          <w:color w:val="14161B"/>
          <w:sz w:val="20"/>
          <w:szCs w:val="20"/>
        </w:rPr>
        <w:t xml:space="preserve">Conversion is a real share issue</w:t>
      </w:r>
    </w:p>
    <w:p>
      <w:pPr>
        <w:spacing w:after="60" w:line="264"/>
        <w:jc w:val="both"/>
      </w:pPr>
      <w:r>
        <w:rPr>
          <w:rFonts w:ascii="Calibri" w:cs="Calibri" w:eastAsia="Calibri" w:hAnsi="Calibri"/>
          <w:sz w:val="19"/>
          <w:szCs w:val="19"/>
        </w:rPr>
        <w:t xml:space="preserve">Constitutional amendment where a class is created, approvals, pre-emption, register update, filings and a deed of adherence. Companies treat conversion as arithmetic and skip the corporate steps, which surfaces in the next diligence.</w:t>
      </w:r>
    </w:p>
    <w:p>
      <w:pPr>
        <w:keepNext/>
        <w:spacing w:after="40" w:before="140"/>
      </w:pPr>
      <w:r>
        <w:rPr>
          <w:rFonts w:ascii="Calibri" w:cs="Calibri" w:eastAsia="Calibri" w:hAnsi="Calibri"/>
          <w:b/>
          <w:bCs/>
          <w:color w:val="14161B"/>
          <w:sz w:val="20"/>
          <w:szCs w:val="20"/>
        </w:rPr>
        <w:t xml:space="preserve">Tell option holders what conversion does</w:t>
      </w:r>
    </w:p>
    <w:p>
      <w:pPr>
        <w:spacing w:after="60" w:line="264"/>
        <w:jc w:val="both"/>
      </w:pPr>
      <w:r>
        <w:rPr>
          <w:rFonts w:ascii="Calibri" w:cs="Calibri" w:eastAsia="Calibri" w:hAnsi="Calibri"/>
          <w:sz w:val="19"/>
          <w:szCs w:val="19"/>
        </w:rPr>
        <w:t xml:space="preserve">Employees holding options are diluted by conversion exactly as shareholders are, and are rarely told. A short explanation before the round closes costs nothing and is noticed if omitted.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market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Company law including the 2025 amendments, free zone and financial free zone share mechanics, lending regulation and transfer pricing rules all change — take UAE legal and tax advice on the issuing entity before signing a convertible instrument.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2026-08-23T16:28:35.962Z</dcterms:created>
  <dcterms:modified xsi:type="dcterms:W3CDTF">2026-08-23T16:28:35.962Z</dcterms:modified>
</cp:coreProperties>
</file>

<file path=docProps/custom.xml><?xml version="1.0" encoding="utf-8"?>
<Properties xmlns="http://schemas.openxmlformats.org/officeDocument/2006/custom-properties" xmlns:vt="http://schemas.openxmlformats.org/officeDocument/2006/docPropsVTypes"/>
</file>