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CONFIDENTIALITY AND INTELLECTUAL PROPERTY</w:t>
      </w:r>
    </w:p>
    <w:p>
      <w:pPr>
        <w:spacing w:after="260"/>
        <w:jc w:val="center"/>
      </w:pPr>
      <w:r>
        <w:rPr>
          <w:rFonts w:ascii="Calibri" w:cs="Calibri" w:eastAsia="Calibri" w:hAnsi="Calibri"/>
          <w:i/>
          <w:iCs/>
          <w:color w:val="6E7480"/>
          <w:sz w:val="19"/>
          <w:szCs w:val="19"/>
        </w:rPr>
        <w:t xml:space="preserve">Employee agreement — UAE</w:t>
      </w:r>
    </w:p>
    <w:p>
      <w:pPr>
        <w:spacing w:after="180" w:before="0" w:line="276"/>
        <w:jc w:val="both"/>
      </w:pPr>
      <w:r>
        <w:rPr>
          <w:rFonts w:ascii="Calibri" w:cs="Calibri" w:eastAsia="Calibri" w:hAnsi="Calibri"/>
          <w:i/>
          <w:iCs/>
          <w:color w:val="6E7480"/>
          <w:sz w:val="21"/>
          <w:szCs w:val="21"/>
        </w:rPr>
        <w:t xml:space="preserve">Two things this document must do that the MOHRE contract does not. </w:t>
      </w:r>
      <w:r>
        <w:rPr>
          <w:rFonts w:ascii="Calibri" w:cs="Calibri" w:eastAsia="Calibri" w:hAnsi="Calibri"/>
          <w:b/>
          <w:bCs/>
          <w:i/>
          <w:iCs/>
          <w:color w:val="6E7480"/>
          <w:sz w:val="21"/>
          <w:szCs w:val="21"/>
        </w:rPr>
        <w:t xml:space="preserve">Assign intellectual property expressly</w:t>
      </w:r>
      <w:r>
        <w:rPr>
          <w:rFonts w:ascii="Calibri" w:cs="Calibri" w:eastAsia="Calibri" w:hAnsi="Calibri"/>
          <w:i/>
          <w:iCs/>
          <w:color w:val="6E7480"/>
          <w:sz w:val="21"/>
          <w:szCs w:val="21"/>
        </w:rPr>
        <w:t xml:space="preserve">, because the standard form does not, and </w:t>
      </w:r>
      <w:r>
        <w:rPr>
          <w:rFonts w:ascii="Calibri" w:cs="Calibri" w:eastAsia="Calibri" w:hAnsi="Calibri"/>
          <w:b/>
          <w:bCs/>
          <w:i/>
          <w:iCs/>
          <w:color w:val="6E7480"/>
          <w:sz w:val="21"/>
          <w:szCs w:val="21"/>
        </w:rPr>
        <w:t xml:space="preserve">set restrictions that are actually enforceable</w:t>
      </w:r>
      <w:r>
        <w:rPr>
          <w:rFonts w:ascii="Calibri" w:cs="Calibri" w:eastAsia="Calibri" w:hAnsi="Calibri"/>
          <w:i/>
          <w:iCs/>
          <w:color w:val="6E7480"/>
          <w:sz w:val="21"/>
          <w:szCs w:val="21"/>
        </w:rPr>
        <w:t xml:space="preserve"> — the UAE permits post-employment non-competition, but only where it is limited in time, place and subject matter to a legitimate interest.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contract reference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Access to clients or trade secrets?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determines whether a restraint is defensible at all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Non-competition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 — </w:t>
            </w:r>
            <w:r>
              <w:rPr>
                <w:rFonts w:ascii="Calibri" w:cs="Calibri" w:eastAsia="Calibri" w:hAnsi="Calibri"/>
                <w:b/>
                <w:bCs/>
                <w:sz w:val="19"/>
                <w:szCs w:val="19"/>
              </w:rPr>
              <w:t xml:space="preserve">maximum two years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Geographic scope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[DEFINE NARROWLY]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Restricted activity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SPECIFIC BUSINESS, not "any competing business"]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w:t>
            </w:r>
          </w:p>
        </w:tc>
      </w:tr>
    </w:tbl>
    <w:p>
      <w:pPr>
        <w:spacing w:after="180"/>
      </w:pPr>
    </w:p>
    <w:p>
      <w:pPr>
        <w:keepNext/>
        <w:spacing w:after="120" w:before="280"/>
        <w:outlineLvl w:val="0"/>
      </w:pPr>
      <w:r>
        <w:rPr>
          <w:rFonts w:ascii="Calibri" w:cs="Calibri" w:eastAsia="Calibri" w:hAnsi="Calibri"/>
          <w:b/>
          <w:bCs/>
          <w:color w:val="14161B"/>
          <w:sz w:val="22"/>
          <w:szCs w:val="22"/>
        </w:rPr>
        <w:t xml:space="preserve">1. CONFIDENTIALITY</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information relating to the business, clients, suppliers, finances, pricing, methods, technology, personnel or plans of the Company or its clients, which is not public.</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Employee shall keep Confidential Information confidential, use it only for the Company’s business, and not disclose it to anyone without authority.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obligation continues </w:t>
      </w:r>
      <w:r>
        <w:rPr>
          <w:rFonts w:ascii="Calibri" w:cs="Calibri" w:eastAsia="Calibri" w:hAnsi="Calibri"/>
          <w:b/>
          <w:bCs/>
          <w:sz w:val="21"/>
          <w:szCs w:val="21"/>
        </w:rPr>
        <w:t xml:space="preserve">without limit of time</w:t>
      </w:r>
      <w:r>
        <w:rPr>
          <w:rFonts w:ascii="Calibri" w:cs="Calibri" w:eastAsia="Calibri" w:hAnsi="Calibri"/>
          <w:sz w:val="21"/>
          <w:szCs w:val="21"/>
        </w:rPr>
        <w:t xml:space="preserve"> after employment ends.</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On leaving, the Employee shall return or delete all Confidential Information, including anything held on personal devices or accounts, and confirm in writing that they have done so.</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Nothing prevents the Employee from making a disclosure required by law or to a regulator, or from raising a genuine concern under the Company’s grievance procedure.</w:t>
      </w:r>
    </w:p>
    <w:p>
      <w:pPr>
        <w:keepNext/>
        <w:spacing w:after="120" w:before="280"/>
        <w:outlineLvl w:val="0"/>
      </w:pPr>
      <w:r>
        <w:rPr>
          <w:rFonts w:ascii="Calibri" w:cs="Calibri" w:eastAsia="Calibri" w:hAnsi="Calibri"/>
          <w:b/>
          <w:bCs/>
          <w:color w:val="14161B"/>
          <w:sz w:val="22"/>
          <w:szCs w:val="22"/>
        </w:rPr>
        <w:t xml:space="preserve">2. INTELLECTUAL PROPERTY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All intellectual property created by the Employee </w:t>
      </w:r>
      <w:r>
        <w:rPr>
          <w:rFonts w:ascii="Calibri" w:cs="Calibri" w:eastAsia="Calibri" w:hAnsi="Calibri"/>
          <w:b/>
          <w:bCs/>
          <w:sz w:val="21"/>
          <w:szCs w:val="21"/>
        </w:rPr>
        <w:t xml:space="preserve">in the course of employment</w:t>
      </w:r>
      <w:r>
        <w:rPr>
          <w:rFonts w:ascii="Calibri" w:cs="Calibri" w:eastAsia="Calibri" w:hAnsi="Calibri"/>
          <w:sz w:val="21"/>
          <w:szCs w:val="21"/>
        </w:rPr>
        <w:t xml:space="preserve">, or using the Company’s resources, information or time, belongs to the Company.</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Employee </w:t>
      </w:r>
      <w:r>
        <w:rPr>
          <w:rFonts w:ascii="Calibri" w:cs="Calibri" w:eastAsia="Calibri" w:hAnsi="Calibri"/>
          <w:b/>
          <w:bCs/>
          <w:sz w:val="21"/>
          <w:szCs w:val="21"/>
        </w:rPr>
        <w:t xml:space="preserve">assigns</w:t>
      </w:r>
      <w:r>
        <w:rPr>
          <w:rFonts w:ascii="Calibri" w:cs="Calibri" w:eastAsia="Calibri" w:hAnsi="Calibri"/>
          <w:sz w:val="21"/>
          <w:szCs w:val="21"/>
        </w:rPr>
        <w:t xml:space="preserve"> to the Company all such intellectual property, present and future, and waives moral rights to the extent permitted.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Employee shall promptly disclose anything created, and shall execute any document required to perfect the Company’s title, </w:t>
      </w:r>
      <w:r>
        <w:rPr>
          <w:rFonts w:ascii="Calibri" w:cs="Calibri" w:eastAsia="Calibri" w:hAnsi="Calibri"/>
          <w:b/>
          <w:bCs/>
          <w:sz w:val="21"/>
          <w:szCs w:val="21"/>
        </w:rPr>
        <w:t xml:space="preserve">during and after employment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Where the Employee created relevant material </w:t>
      </w:r>
      <w:r>
        <w:rPr>
          <w:rFonts w:ascii="Calibri" w:cs="Calibri" w:eastAsia="Calibri" w:hAnsi="Calibri"/>
          <w:b/>
          <w:bCs/>
          <w:sz w:val="21"/>
          <w:szCs w:val="21"/>
        </w:rPr>
        <w:t xml:space="preserve">before</w:t>
      </w:r>
      <w:r>
        <w:rPr>
          <w:rFonts w:ascii="Calibri" w:cs="Calibri" w:eastAsia="Calibri" w:hAnsi="Calibri"/>
          <w:sz w:val="21"/>
          <w:szCs w:val="21"/>
        </w:rPr>
        <w:t xml:space="preserve"> employment and it is used in the Company’s business, it is listed in Schedule 1 and </w:t>
      </w:r>
      <w:r>
        <w:rPr>
          <w:rFonts w:ascii="Calibri" w:cs="Calibri" w:eastAsia="Calibri" w:hAnsi="Calibri"/>
          <w:b/>
          <w:bCs/>
          <w:sz w:val="21"/>
          <w:szCs w:val="21"/>
        </w:rPr>
        <w:t xml:space="preserve">[assigned / licensed]</w:t>
      </w:r>
      <w:r>
        <w:rPr>
          <w:rFonts w:ascii="Calibri" w:cs="Calibri" w:eastAsia="Calibri" w:hAnsi="Calibri"/>
          <w:sz w:val="21"/>
          <w:szCs w:val="21"/>
        </w:rPr>
        <w:t xml:space="preserve"> to the Company.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Employee warrants that nothing they contribute infringes a third party’s rights or breaches an obligation owed to a former employer.</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i/>
          <w:iCs/>
          <w:sz w:val="21"/>
          <w:szCs w:val="21"/>
        </w:rPr>
        <w:t xml:space="preserve">Clause 2.3 matters after departure. An employee who has left is under no practical pressure to sign an assignment document, which is why the obligation must survive termination and why the assignment in Clause 2.2 is expressed to operate on creation rather than on later signature.</w:t>
      </w:r>
    </w:p>
    <w:p>
      <w:pPr>
        <w:keepNext/>
        <w:spacing w:after="120" w:before="280"/>
        <w:outlineLvl w:val="0"/>
      </w:pPr>
      <w:r>
        <w:rPr>
          <w:rFonts w:ascii="Calibri" w:cs="Calibri" w:eastAsia="Calibri" w:hAnsi="Calibri"/>
          <w:b/>
          <w:bCs/>
          <w:color w:val="14161B"/>
          <w:sz w:val="22"/>
          <w:szCs w:val="22"/>
        </w:rPr>
        <w:t xml:space="preserve">3. RESTRICTIVE COVENANTS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Post-employment restraints are enforceable in the UAE </w:t>
      </w:r>
      <w:r>
        <w:rPr>
          <w:rFonts w:ascii="Calibri" w:cs="Calibri" w:eastAsia="Calibri" w:hAnsi="Calibri"/>
          <w:b/>
          <w:bCs/>
          <w:sz w:val="21"/>
          <w:szCs w:val="21"/>
        </w:rPr>
        <w:t xml:space="preserve">only where reasonable</w:t>
      </w:r>
      <w:r>
        <w:rPr>
          <w:rFonts w:ascii="Calibri" w:cs="Calibri" w:eastAsia="Calibri" w:hAnsi="Calibri"/>
          <w:sz w:val="21"/>
          <w:szCs w:val="21"/>
        </w:rPr>
        <w:t xml:space="preserve">, and apply only where the Employee had access to the Company’s clients or trade secrets.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For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employment ends, not exceeding </w:t>
      </w:r>
      <w:r>
        <w:rPr>
          <w:rFonts w:ascii="Calibri" w:cs="Calibri" w:eastAsia="Calibri" w:hAnsi="Calibri"/>
          <w:b/>
          <w:bCs/>
          <w:sz w:val="21"/>
          <w:szCs w:val="21"/>
        </w:rPr>
        <w:t xml:space="preserve">two years</w:t>
      </w:r>
      <w:r>
        <w:rPr>
          <w:rFonts w:ascii="Calibri" w:cs="Calibri" w:eastAsia="Calibri" w:hAnsi="Calibri"/>
          <w:sz w:val="21"/>
          <w:szCs w:val="21"/>
        </w:rPr>
        <w:t xml:space="preserve">, the Employee shall not, within </w:t>
      </w:r>
      <w:r>
        <w:rPr>
          <w:rFonts w:ascii="Calibri" w:cs="Calibri" w:eastAsia="Calibri" w:hAnsi="Calibri"/>
          <w:b/>
          <w:bCs/>
          <w:sz w:val="21"/>
          <w:szCs w:val="21"/>
        </w:rPr>
        <w:t xml:space="preserve">[DEFINED AREA]</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Non-solicitation of clients</w:t>
      </w:r>
      <w:r>
        <w:rPr>
          <w:rFonts w:ascii="Calibri" w:cs="Calibri" w:eastAsia="Calibri" w:hAnsi="Calibri"/>
          <w:sz w:val="21"/>
          <w:szCs w:val="21"/>
        </w:rPr>
        <w:t xml:space="preserve"> — solicit or deal with any client of the Company with whom the Employee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leaving, in connection with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Non-solicitation of staff</w:t>
      </w:r>
      <w:r>
        <w:rPr>
          <w:rFonts w:ascii="Calibri" w:cs="Calibri" w:eastAsia="Calibri" w:hAnsi="Calibri"/>
          <w:sz w:val="21"/>
          <w:szCs w:val="21"/>
        </w:rPr>
        <w:t xml:space="preserve"> — solicit or employ any employee of the Company with whom the Employee worked in that period;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[Where genuinely justified]</w:t>
      </w:r>
      <w:r>
        <w:rPr>
          <w:rFonts w:ascii="Calibri" w:cs="Calibri" w:eastAsia="Calibri" w:hAnsi="Calibri"/>
          <w:sz w:val="21"/>
          <w:szCs w:val="21"/>
        </w:rPr>
        <w:t xml:space="preserve"> </w:t>
      </w:r>
      <w:r>
        <w:rPr>
          <w:rFonts w:ascii="Calibri" w:cs="Calibri" w:eastAsia="Calibri" w:hAnsi="Calibri"/>
          <w:b/>
          <w:bCs/>
          <w:sz w:val="21"/>
          <w:szCs w:val="21"/>
        </w:rPr>
        <w:t xml:space="preserve">Non-competition</w:t>
      </w:r>
      <w:r>
        <w:rPr>
          <w:rFonts w:ascii="Calibri" w:cs="Calibri" w:eastAsia="Calibri" w:hAnsi="Calibri"/>
          <w:sz w:val="21"/>
          <w:szCs w:val="21"/>
        </w:rPr>
        <w:t xml:space="preserve"> — be engaged in </w:t>
      </w:r>
      <w:r>
        <w:rPr>
          <w:rFonts w:ascii="Calibri" w:cs="Calibri" w:eastAsia="Calibri" w:hAnsi="Calibri"/>
          <w:b/>
          <w:bCs/>
          <w:sz w:val="21"/>
          <w:szCs w:val="21"/>
        </w:rPr>
        <w:t xml:space="preserve">[THE SPECIFIC COMPETING ACTIVITY]</w:t>
      </w:r>
      <w:r>
        <w:rPr>
          <w:rFonts w:ascii="Calibri" w:cs="Calibri" w:eastAsia="Calibri" w:hAnsi="Calibri"/>
          <w:sz w:val="21"/>
          <w:szCs w:val="21"/>
        </w:rPr>
        <w:t xml:space="preserve"> in a capacity the same as or materially similar to that in which the Employee acted for the Company.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Each restriction is separate and severable.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 restriction under Clause 3.2(c) may cease to apply where the employment ended for a reason attributable to the Company, where the parties agree in writing, or where a new employer provides an acceptable arrangement. </w:t>
      </w:r>
      <w:r>
        <w:rPr>
          <w:rFonts w:ascii="Calibri" w:cs="Calibri" w:eastAsia="Calibri" w:hAnsi="Calibri"/>
          <w:i/>
          <w:iCs/>
          <w:sz w:val="21"/>
          <w:szCs w:val="21"/>
        </w:rPr>
        <w:t xml:space="preserve">Take advice before seeking to enforce — the practical route runs through MOHRE rather than an injunction, and the grounds are narrower than employers assume.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Draft (a) and (b) properly and treat (c) as optional. Non-solicitation of clients and colleagues protects what actually matters and is far more likely to hold than a broad non-competition clause.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COMPANY PROPERTY AND SYSTEMS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Equipment, devices, accounts, records, documents and data provided by the Company remain the Company’s property and shall be returned on leaving.</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Employee shall not copy Company data to personal devices, accounts or storage, save where the Company expressly permits it.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Employee shall not retain client contact details, pricing, proposals or work product after leaving.</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Company may monitor its systems in accordance with applicable law and its data protection policy.</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i/>
          <w:iCs/>
          <w:sz w:val="21"/>
          <w:szCs w:val="21"/>
        </w:rPr>
        <w:t xml:space="preserve">The practical exit risk is not a competitor hiring the person — it is the contact list, the proposal library and the pricing file leaving with them. Address it at onboarding and check it at exit.</w:t>
      </w:r>
    </w:p>
    <w:p>
      <w:pPr>
        <w:keepNext/>
        <w:spacing w:after="120" w:before="280"/>
        <w:outlineLvl w:val="0"/>
      </w:pPr>
      <w:r>
        <w:rPr>
          <w:rFonts w:ascii="Calibri" w:cs="Calibri" w:eastAsia="Calibri" w:hAnsi="Calibri"/>
          <w:b/>
          <w:bCs/>
          <w:color w:val="14161B"/>
          <w:sz w:val="22"/>
          <w:szCs w:val="22"/>
        </w:rPr>
        <w:t xml:space="preserve">5. PERSONAL DATA</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Employee’s personal data is processed in accordance with the Company’s data protection policy and applicable law.</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Employee shall handle personal data belonging to the Company, its clients and colleagues in accordance with that policy, and report any suspected breach immediately.</w:t>
      </w:r>
    </w:p>
    <w:p>
      <w:pPr>
        <w:keepNext/>
        <w:spacing w:after="120" w:before="280"/>
        <w:outlineLvl w:val="0"/>
      </w:pPr>
      <w:r>
        <w:rPr>
          <w:rFonts w:ascii="Calibri" w:cs="Calibri" w:eastAsia="Calibri" w:hAnsi="Calibri"/>
          <w:b/>
          <w:bCs/>
          <w:color w:val="14161B"/>
          <w:sz w:val="22"/>
          <w:szCs w:val="22"/>
        </w:rPr>
        <w:t xml:space="preserve">6. GENERAL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This agreement supplements the MOHRE registered employment contract. </w:t>
      </w:r>
      <w:r>
        <w:rPr>
          <w:rFonts w:ascii="Calibri" w:cs="Calibri" w:eastAsia="Calibri" w:hAnsi="Calibri"/>
          <w:b/>
          <w:bCs/>
          <w:sz w:val="21"/>
          <w:szCs w:val="21"/>
        </w:rPr>
        <w:t xml:space="preserve">Where they conflict, the MOHRE contract and the Law prevail.</w:t>
      </w:r>
      <w:r>
        <w:rPr>
          <w:rFonts w:ascii="Calibri" w:cs="Calibri" w:eastAsia="Calibri" w:hAnsi="Calibri"/>
          <w:sz w:val="21"/>
          <w:szCs w:val="21"/>
        </w:rPr>
        <w:t xml:space="preserve"> Nothing here reduces a statutory entitlement.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This agreement continues to bind the Employee after employment ends, to the extent stated.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Passport: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Pre-existing Intellectual Property</w:t>
      </w:r>
    </w:p>
    <w:p>
      <w:pPr>
        <w:spacing w:after="130" w:before="0" w:line="276"/>
        <w:jc w:val="both"/>
      </w:pPr>
      <w:r>
        <w:rPr>
          <w:rFonts w:ascii="Calibri" w:cs="Calibri" w:eastAsia="Calibri" w:hAnsi="Calibri"/>
          <w:i/>
          <w:iCs/>
          <w:sz w:val="21"/>
          <w:szCs w:val="21"/>
        </w:rPr>
        <w:t xml:space="preserve">Anything the Employee created before employment that the Company will use. If there is nothing, write "None" and have it signed — a blank schedule is ambiguous.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1542"/>
        <w:gridCol w:w="1831"/>
        <w:gridCol w:w="1929"/>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Created when</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Owned by</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Treatment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 third party]</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[Assigned / Licensed]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w:t>
            </w:r>
            <w:r>
              <w:rPr>
                <w:rFonts w:ascii="Calibri" w:cs="Calibri" w:eastAsia="Calibri" w:hAnsi="Calibri"/>
                <w:sz w:val="18"/>
                <w:szCs w:val="18"/>
              </w:rPr>
              <w:t xml:space="preserve"> </w:t>
            </w:r>
            <w:r>
              <w:rPr>
                <w:rFonts w:ascii="Calibri" w:cs="Calibri" w:eastAsia="Calibri" w:hAnsi="Calibri"/>
                <w:b/>
                <w:bCs/>
                <w:sz w:val="18"/>
                <w:szCs w:val="18"/>
              </w:rPr>
              <w:t xml:space="preserve">[delete if entries above]</w:t>
            </w:r>
          </w:p>
        </w:tc>
        <w:tc>
          <w:tcPr>
            <w:tcW w:type="dxa" w:w="1542"/>
            <w:tcMar>
              <w:top w:type="dxa" w:w="70"/>
              <w:left w:type="dxa" w:w="100"/>
              <w:bottom w:type="dxa" w:w="70"/>
              <w:right w:type="dxa" w:w="100"/>
            </w:tcMar>
            <w:vAlign w:val="center"/>
          </w:tcPr>
          <w:p>
            <w:pPr>
              <w:spacing w:after="0" w:line="240"/>
              <w:jc w:val="left"/>
            </w:pPr>
          </w:p>
        </w:tc>
        <w:tc>
          <w:tcPr>
            <w:tcW w:type="dxa" w:w="1831"/>
            <w:tcMar>
              <w:top w:type="dxa" w:w="70"/>
              <w:left w:type="dxa" w:w="100"/>
              <w:bottom w:type="dxa" w:w="70"/>
              <w:right w:type="dxa" w:w="100"/>
            </w:tcMar>
            <w:vAlign w:val="center"/>
          </w:tcPr>
          <w:p>
            <w:pPr>
              <w:spacing w:after="0" w:line="240"/>
              <w:jc w:val="left"/>
            </w:pPr>
          </w:p>
        </w:tc>
        <w:tc>
          <w:tcPr>
            <w:tcW w:type="dxa" w:w="1929"/>
            <w:tcMar>
              <w:top w:type="dxa" w:w="70"/>
              <w:left w:type="dxa" w:w="100"/>
              <w:bottom w:type="dxa" w:w="70"/>
              <w:right w:type="dxa" w:w="100"/>
            </w:tcMar>
            <w:vAlign w:val="center"/>
          </w:tcPr>
          <w:p>
            <w:pPr>
              <w:spacing w:after="0" w:line="240"/>
              <w:jc w:val="left"/>
            </w:pP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Exit Confirmation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Company equipment and devices returned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Company documents and data returned or deleted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 data removed from personal devices, email and cloud accounts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client contact lists, pricing or proposals retained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 and building access revoked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Removed from bank mandates and signing authorities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Handover completed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Restrictions explained and acknowledged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outstanding IP assignment executed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Confidentiality obligations reconfirmed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MOHRE contract does not assign IP</w:t>
      </w:r>
    </w:p>
    <w:p>
      <w:pPr>
        <w:spacing w:after="60" w:line="264"/>
        <w:jc w:val="both"/>
      </w:pPr>
      <w:r>
        <w:rPr>
          <w:rFonts w:ascii="Calibri" w:cs="Calibri" w:eastAsia="Calibri" w:hAnsi="Calibri"/>
          <w:sz w:val="19"/>
          <w:szCs w:val="19"/>
        </w:rPr>
        <w:t xml:space="preserve">The standard registered contract does not deal with intellectual property. Without a separate assignment, ownership of work created by an employee can be contested, and the gap is found in diligence rather than at the time. This document exists mainly to close it.</w:t>
      </w:r>
    </w:p>
    <w:p>
      <w:pPr>
        <w:keepNext/>
        <w:spacing w:after="40" w:before="140"/>
      </w:pPr>
      <w:r>
        <w:rPr>
          <w:rFonts w:ascii="Calibri" w:cs="Calibri" w:eastAsia="Calibri" w:hAnsi="Calibri"/>
          <w:b/>
          <w:bCs/>
          <w:color w:val="14161B"/>
          <w:sz w:val="20"/>
          <w:szCs w:val="20"/>
        </w:rPr>
        <w:t xml:space="preserve">Make the assignment operate on creation</w:t>
      </w:r>
    </w:p>
    <w:p>
      <w:pPr>
        <w:spacing w:after="60" w:line="264"/>
        <w:jc w:val="both"/>
      </w:pPr>
      <w:r>
        <w:rPr>
          <w:rFonts w:ascii="Calibri" w:cs="Calibri" w:eastAsia="Calibri" w:hAnsi="Calibri"/>
          <w:sz w:val="19"/>
          <w:szCs w:val="19"/>
        </w:rPr>
        <w:t xml:space="preserve">An assignment expressed to require a signature later depends on a departed employee co-operating, which they have no reason to do. Clause 2.2 assigns present and future rights on creation, with Clause 2.3 requiring further documents — belt and braces, in the right order.</w:t>
      </w:r>
    </w:p>
    <w:p>
      <w:pPr>
        <w:keepNext/>
        <w:spacing w:after="40" w:before="140"/>
      </w:pPr>
      <w:r>
        <w:rPr>
          <w:rFonts w:ascii="Calibri" w:cs="Calibri" w:eastAsia="Calibri" w:hAnsi="Calibri"/>
          <w:b/>
          <w:bCs/>
          <w:color w:val="14161B"/>
          <w:sz w:val="20"/>
          <w:szCs w:val="20"/>
        </w:rPr>
        <w:t xml:space="preserve">List pre-existing IP or write "None"</w:t>
      </w:r>
    </w:p>
    <w:p>
      <w:pPr>
        <w:spacing w:after="60" w:line="264"/>
        <w:jc w:val="both"/>
      </w:pPr>
      <w:r>
        <w:rPr>
          <w:rFonts w:ascii="Calibri" w:cs="Calibri" w:eastAsia="Calibri" w:hAnsi="Calibri"/>
          <w:sz w:val="19"/>
          <w:szCs w:val="19"/>
        </w:rPr>
        <w:t xml:space="preserve">A blank Schedule 1 is ambiguous. Where a developer, designer or consultant brings prior work into the business, list it and state whether it is assigned or licensed. Where there genuinely is nothing, record that and have it signed.</w:t>
      </w:r>
    </w:p>
    <w:p>
      <w:pPr>
        <w:keepNext/>
        <w:spacing w:after="40" w:before="140"/>
      </w:pPr>
      <w:r>
        <w:rPr>
          <w:rFonts w:ascii="Calibri" w:cs="Calibri" w:eastAsia="Calibri" w:hAnsi="Calibri"/>
          <w:b/>
          <w:bCs/>
          <w:color w:val="14161B"/>
          <w:sz w:val="20"/>
          <w:szCs w:val="20"/>
        </w:rPr>
        <w:t xml:space="preserve">Ask about obligations to former employers</w:t>
      </w:r>
    </w:p>
    <w:p>
      <w:pPr>
        <w:spacing w:after="60" w:line="264"/>
        <w:jc w:val="both"/>
      </w:pPr>
      <w:r>
        <w:rPr>
          <w:rFonts w:ascii="Calibri" w:cs="Calibri" w:eastAsia="Calibri" w:hAnsi="Calibri"/>
          <w:sz w:val="19"/>
          <w:szCs w:val="19"/>
        </w:rPr>
        <w:t xml:space="preserve">Clause 2.5 warrants that nothing contributed breaches an obligation to a previous employer. Restraints are enforceable in the UAE where reasonable, and a former employer can pursue both the individual and the new employer. Ask before the first day, not after a letter arrives.</w:t>
      </w:r>
    </w:p>
    <w:p>
      <w:pPr>
        <w:keepNext/>
        <w:spacing w:after="40" w:before="140"/>
      </w:pPr>
      <w:r>
        <w:rPr>
          <w:rFonts w:ascii="Calibri" w:cs="Calibri" w:eastAsia="Calibri" w:hAnsi="Calibri"/>
          <w:b/>
          <w:bCs/>
          <w:color w:val="14161B"/>
          <w:sz w:val="20"/>
          <w:szCs w:val="20"/>
        </w:rPr>
        <w:t xml:space="preserve">Non-competition is available but narrow</w:t>
      </w:r>
    </w:p>
    <w:p>
      <w:pPr>
        <w:spacing w:after="60" w:line="264"/>
        <w:jc w:val="both"/>
      </w:pPr>
      <w:r>
        <w:rPr>
          <w:rFonts w:ascii="Calibri" w:cs="Calibri" w:eastAsia="Calibri" w:hAnsi="Calibri"/>
          <w:sz w:val="19"/>
          <w:szCs w:val="19"/>
        </w:rPr>
        <w:t xml:space="preserve">The UAE permits post-employment non-competition, capped at two years and limited to what is necessary to protect a legitimate interest, and only where the employee had access to clients or trade secrets. It is not a default clause to include for everyone.</w:t>
      </w:r>
    </w:p>
    <w:p>
      <w:pPr>
        <w:keepNext/>
        <w:spacing w:after="40" w:before="140"/>
      </w:pPr>
      <w:r>
        <w:rPr>
          <w:rFonts w:ascii="Calibri" w:cs="Calibri" w:eastAsia="Calibri" w:hAnsi="Calibri"/>
          <w:b/>
          <w:bCs/>
          <w:color w:val="14161B"/>
          <w:sz w:val="20"/>
          <w:szCs w:val="20"/>
        </w:rPr>
        <w:t xml:space="preserve">Prioritise non-solicitation over non-competition</w:t>
      </w:r>
    </w:p>
    <w:p>
      <w:pPr>
        <w:spacing w:after="60" w:line="264"/>
        <w:jc w:val="both"/>
      </w:pPr>
      <w:r>
        <w:rPr>
          <w:rFonts w:ascii="Calibri" w:cs="Calibri" w:eastAsia="Calibri" w:hAnsi="Calibri"/>
          <w:sz w:val="19"/>
          <w:szCs w:val="19"/>
        </w:rPr>
        <w:t xml:space="preserve">Restrictions on approaching clients and colleagues protect what actually causes loss and are far more likely to be upheld than a broad prohibition on working in the sector. Draft (a) and (b) carefully and treat (c) as optional and role-specific.</w:t>
      </w:r>
    </w:p>
    <w:p>
      <w:pPr>
        <w:keepNext/>
        <w:spacing w:after="40" w:before="140"/>
      </w:pPr>
      <w:r>
        <w:rPr>
          <w:rFonts w:ascii="Calibri" w:cs="Calibri" w:eastAsia="Calibri" w:hAnsi="Calibri"/>
          <w:b/>
          <w:bCs/>
          <w:color w:val="14161B"/>
          <w:sz w:val="20"/>
          <w:szCs w:val="20"/>
        </w:rPr>
        <w:t xml:space="preserve">Define the restricted business, not "any competitor"</w:t>
      </w:r>
    </w:p>
    <w:p>
      <w:pPr>
        <w:spacing w:after="60" w:line="264"/>
        <w:jc w:val="both"/>
      </w:pPr>
      <w:r>
        <w:rPr>
          <w:rFonts w:ascii="Calibri" w:cs="Calibri" w:eastAsia="Calibri" w:hAnsi="Calibri"/>
          <w:sz w:val="19"/>
          <w:szCs w:val="19"/>
        </w:rPr>
        <w:t xml:space="preserve">A clause restraining an employee from "any competing business" invites the response that it is unreasonable. Name the specific activity, the specific area and the specific period, matched to what the employee actually did.</w:t>
      </w:r>
    </w:p>
    <w:p>
      <w:pPr>
        <w:keepNext/>
        <w:spacing w:after="40" w:before="140"/>
      </w:pPr>
      <w:r>
        <w:rPr>
          <w:rFonts w:ascii="Calibri" w:cs="Calibri" w:eastAsia="Calibri" w:hAnsi="Calibri"/>
          <w:b/>
          <w:bCs/>
          <w:color w:val="14161B"/>
          <w:sz w:val="20"/>
          <w:szCs w:val="20"/>
        </w:rPr>
        <w:t xml:space="preserve">Enforcement runs through MOHRE, not an injunction</w:t>
      </w:r>
    </w:p>
    <w:p>
      <w:pPr>
        <w:spacing w:after="60" w:line="264"/>
        <w:jc w:val="both"/>
      </w:pPr>
      <w:r>
        <w:rPr>
          <w:rFonts w:ascii="Calibri" w:cs="Calibri" w:eastAsia="Calibri" w:hAnsi="Calibri"/>
          <w:sz w:val="19"/>
          <w:szCs w:val="19"/>
        </w:rPr>
        <w:t xml:space="preserve">The practical route for an employer is a labour ban request rather than a court injunction, and the grounds are narrower than employers assume. A restraint may also fall away where the employer caused the termination. Take advice before acting on one.</w:t>
      </w:r>
    </w:p>
    <w:p>
      <w:pPr>
        <w:keepNext/>
        <w:spacing w:after="40" w:before="140"/>
      </w:pPr>
      <w:r>
        <w:rPr>
          <w:rFonts w:ascii="Calibri" w:cs="Calibri" w:eastAsia="Calibri" w:hAnsi="Calibri"/>
          <w:b/>
          <w:bCs/>
          <w:color w:val="14161B"/>
          <w:sz w:val="20"/>
          <w:szCs w:val="20"/>
        </w:rPr>
        <w:t xml:space="preserve">The real exit risk is the data, not the person</w:t>
      </w:r>
    </w:p>
    <w:p>
      <w:pPr>
        <w:spacing w:after="60" w:line="264"/>
        <w:jc w:val="both"/>
      </w:pPr>
      <w:r>
        <w:rPr>
          <w:rFonts w:ascii="Calibri" w:cs="Calibri" w:eastAsia="Calibri" w:hAnsi="Calibri"/>
          <w:sz w:val="19"/>
          <w:szCs w:val="19"/>
        </w:rPr>
        <w:t xml:space="preserve">Contact lists, proposal libraries, pricing files and client correspondence are what leave with a departing employee and what cause loss. Address it at onboarding, remind at notice, and check it at exit through Schedule 2.</w:t>
      </w:r>
    </w:p>
    <w:p>
      <w:pPr>
        <w:keepNext/>
        <w:spacing w:after="40" w:before="140"/>
      </w:pPr>
      <w:r>
        <w:rPr>
          <w:rFonts w:ascii="Calibri" w:cs="Calibri" w:eastAsia="Calibri" w:hAnsi="Calibri"/>
          <w:b/>
          <w:bCs/>
          <w:color w:val="14161B"/>
          <w:sz w:val="20"/>
          <w:szCs w:val="20"/>
        </w:rPr>
        <w:t xml:space="preserve">Check personal devices and cloud accounts</w:t>
      </w:r>
    </w:p>
    <w:p>
      <w:pPr>
        <w:spacing w:after="60" w:line="264"/>
        <w:jc w:val="both"/>
      </w:pPr>
      <w:r>
        <w:rPr>
          <w:rFonts w:ascii="Calibri" w:cs="Calibri" w:eastAsia="Calibri" w:hAnsi="Calibri"/>
          <w:sz w:val="19"/>
          <w:szCs w:val="19"/>
        </w:rPr>
        <w:t xml:space="preserve">Company data on personal phones, personal email and personal cloud storage is the most common and least examined leakage route. Item 3 of the exit confirmation asks the question directly and obtains a signature on the answer.</w:t>
      </w:r>
    </w:p>
    <w:p>
      <w:pPr>
        <w:keepNext/>
        <w:spacing w:after="40" w:before="140"/>
      </w:pPr>
      <w:r>
        <w:rPr>
          <w:rFonts w:ascii="Calibri" w:cs="Calibri" w:eastAsia="Calibri" w:hAnsi="Calibri"/>
          <w:b/>
          <w:bCs/>
          <w:color w:val="14161B"/>
          <w:sz w:val="20"/>
          <w:szCs w:val="20"/>
        </w:rPr>
        <w:t xml:space="preserve">Revoke access on the last day, not later</w:t>
      </w:r>
    </w:p>
    <w:p>
      <w:pPr>
        <w:spacing w:after="60" w:line="264"/>
        <w:jc w:val="both"/>
      </w:pPr>
      <w:r>
        <w:rPr>
          <w:rFonts w:ascii="Calibri" w:cs="Calibri" w:eastAsia="Calibri" w:hAnsi="Calibri"/>
          <w:sz w:val="19"/>
          <w:szCs w:val="19"/>
        </w:rPr>
        <w:t xml:space="preserve">System logins, building access, shared drives, SaaS tools and bank mandates all need removing on departure. Resigning an office removes none of them, and dormant access is a live risk that appears in every diligence exercise.</w:t>
      </w:r>
    </w:p>
    <w:p>
      <w:pPr>
        <w:keepNext/>
        <w:spacing w:after="40" w:before="140"/>
      </w:pPr>
      <w:r>
        <w:rPr>
          <w:rFonts w:ascii="Calibri" w:cs="Calibri" w:eastAsia="Calibri" w:hAnsi="Calibri"/>
          <w:b/>
          <w:bCs/>
          <w:color w:val="14161B"/>
          <w:sz w:val="20"/>
          <w:szCs w:val="20"/>
        </w:rPr>
        <w:t xml:space="preserve">Explain the restrictions at exit</w:t>
      </w:r>
    </w:p>
    <w:p>
      <w:pPr>
        <w:spacing w:after="60" w:line="264"/>
        <w:jc w:val="both"/>
      </w:pPr>
      <w:r>
        <w:rPr>
          <w:rFonts w:ascii="Calibri" w:cs="Calibri" w:eastAsia="Calibri" w:hAnsi="Calibri"/>
          <w:sz w:val="19"/>
          <w:szCs w:val="19"/>
        </w:rPr>
        <w:t xml:space="preserve">An employee who leaves without being reminded what they agreed will breach it without meaning to. A short conversation at exit, recorded, prevents most inadvertent breaches and strengthens the position if one occurs.</w:t>
      </w:r>
    </w:p>
    <w:p>
      <w:pPr>
        <w:keepNext/>
        <w:spacing w:after="40" w:before="140"/>
      </w:pPr>
      <w:r>
        <w:rPr>
          <w:rFonts w:ascii="Calibri" w:cs="Calibri" w:eastAsia="Calibri" w:hAnsi="Calibri"/>
          <w:b/>
          <w:bCs/>
          <w:color w:val="14161B"/>
          <w:sz w:val="20"/>
          <w:szCs w:val="20"/>
        </w:rPr>
        <w:t xml:space="preserve">Confidentiality survives without a time limit</w:t>
      </w:r>
    </w:p>
    <w:p>
      <w:pPr>
        <w:spacing w:after="60" w:line="264"/>
        <w:jc w:val="both"/>
      </w:pPr>
      <w:r>
        <w:rPr>
          <w:rFonts w:ascii="Calibri" w:cs="Calibri" w:eastAsia="Calibri" w:hAnsi="Calibri"/>
          <w:sz w:val="19"/>
          <w:szCs w:val="19"/>
        </w:rPr>
        <w:t xml:space="preserve">Unlike restraints, confidentiality obligations can run indefinitely and should. Clause 1.3 says so, and the carve-out in Clause 1.5 preserves the right to make a lawful disclosure or raise a genuine concern — without it, the clause looks like it is suppressing complaints.</w:t>
      </w:r>
    </w:p>
    <w:p>
      <w:pPr>
        <w:keepNext/>
        <w:spacing w:after="40" w:before="140"/>
      </w:pPr>
      <w:r>
        <w:rPr>
          <w:rFonts w:ascii="Calibri" w:cs="Calibri" w:eastAsia="Calibri" w:hAnsi="Calibri"/>
          <w:b/>
          <w:bCs/>
          <w:color w:val="14161B"/>
          <w:sz w:val="20"/>
          <w:szCs w:val="20"/>
        </w:rPr>
        <w:t xml:space="preserve">This cannot cut across the MOHRE contract</w:t>
      </w:r>
    </w:p>
    <w:p>
      <w:pPr>
        <w:spacing w:after="60" w:line="264"/>
        <w:jc w:val="both"/>
      </w:pPr>
      <w:r>
        <w:rPr>
          <w:rFonts w:ascii="Calibri" w:cs="Calibri" w:eastAsia="Calibri" w:hAnsi="Calibri"/>
          <w:sz w:val="19"/>
          <w:szCs w:val="19"/>
        </w:rPr>
        <w:t xml:space="preserve">Clause 6.1 subordinates this agreement to the registered contract and the Law. A supplementary agreement that reduces a statutory entitlement is unenforceable to that extent, and including one damages the credibility of the rest.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Rules on restrictive covenants, the maximum period, the circumstances in which a restraint ceases to apply, and DIFC and ADGM equivalents all change — take UAE employment advice before relying on a non-competition clause, and have any bilingual version prepared by a qualified legal translator.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2026-08-23T16:28:34.922Z</dcterms:created>
  <dcterms:modified xsi:type="dcterms:W3CDTF">2026-08-23T16:28:34.922Z</dcterms:modified>
</cp:coreProperties>
</file>

<file path=docProps/custom.xml><?xml version="1.0" encoding="utf-8"?>
<Properties xmlns="http://schemas.openxmlformats.org/officeDocument/2006/custom-properties" xmlns:vt="http://schemas.openxmlformats.org/officeDocument/2006/docPropsVTypes"/>
</file>