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COMPANY VEHICLES</w:t>
      </w:r>
    </w:p>
    <w:p>
      <w:pPr>
        <w:spacing w:after="260"/>
        <w:jc w:val="center"/>
      </w:pPr>
      <w:r>
        <w:rPr>
          <w:rFonts w:ascii="Calibri" w:cs="Calibri" w:eastAsia="Calibri" w:hAnsi="Calibri"/>
          <w:i/>
          <w:iCs/>
          <w:color w:val="6E7480"/>
          <w:sz w:val="19"/>
          <w:szCs w:val="19"/>
        </w:rPr>
        <w:t xml:space="preserve">Fleet, drivers, fines and liability</w:t>
      </w:r>
    </w:p>
    <w:p>
      <w:pPr>
        <w:spacing w:after="180" w:before="0" w:line="276"/>
        <w:jc w:val="both"/>
      </w:pPr>
      <w:r>
        <w:rPr>
          <w:rFonts w:ascii="Calibri" w:cs="Calibri" w:eastAsia="Calibri" w:hAnsi="Calibri"/>
          <w:i/>
          <w:iCs/>
          <w:color w:val="6E7480"/>
          <w:sz w:val="21"/>
          <w:szCs w:val="21"/>
        </w:rPr>
        <w:t xml:space="preserve">Two things make UAE fleet management different. </w:t>
      </w:r>
      <w:r>
        <w:rPr>
          <w:rFonts w:ascii="Calibri" w:cs="Calibri" w:eastAsia="Calibri" w:hAnsi="Calibri"/>
          <w:b/>
          <w:bCs/>
          <w:i/>
          <w:iCs/>
          <w:color w:val="6E7480"/>
          <w:sz w:val="21"/>
          <w:szCs w:val="21"/>
        </w:rPr>
        <w:t xml:space="preserve">Traffic fines attach to the vehicle</w:t>
      </w:r>
      <w:r>
        <w:rPr>
          <w:rFonts w:ascii="Calibri" w:cs="Calibri" w:eastAsia="Calibri" w:hAnsi="Calibri"/>
          <w:i/>
          <w:iCs/>
          <w:color w:val="6E7480"/>
          <w:sz w:val="21"/>
          <w:szCs w:val="21"/>
        </w:rPr>
        <w:t xml:space="preserve">, so they arrive at the registered owner regardless of who was driving — and they can block licence and registration renewals. And </w:t>
      </w:r>
      <w:r>
        <w:rPr>
          <w:rFonts w:ascii="Calibri" w:cs="Calibri" w:eastAsia="Calibri" w:hAnsi="Calibri"/>
          <w:b/>
          <w:bCs/>
          <w:i/>
          <w:iCs/>
          <w:color w:val="6E7480"/>
          <w:sz w:val="21"/>
          <w:szCs w:val="21"/>
        </w:rPr>
        <w:t xml:space="preserve">input VAT on a vehicle available for personal use is generally blocked</w:t>
      </w:r>
      <w:r>
        <w:rPr>
          <w:rFonts w:ascii="Calibri" w:cs="Calibri" w:eastAsia="Calibri" w:hAnsi="Calibri"/>
          <w:i/>
          <w:iCs/>
          <w:color w:val="6E7480"/>
          <w:sz w:val="21"/>
          <w:szCs w:val="21"/>
        </w:rPr>
        <w:t xml:space="preserve">, which makes the private-use question a tax question.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Vehicles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w:t>
            </w:r>
            <w:r>
              <w:rPr>
                <w:rFonts w:ascii="Calibri" w:cs="Calibri" w:eastAsia="Calibri" w:hAnsi="Calibri"/>
                <w:b/>
                <w:bCs/>
                <w:sz w:val="19"/>
                <w:szCs w:val="19"/>
              </w:rPr>
              <w:t xml:space="preserve">[owned / leased]</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owner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Company]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Personal use permitted?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w:t>
            </w:r>
            <w:r>
              <w:rPr>
                <w:rFonts w:ascii="Calibri" w:cs="Calibri" w:eastAsia="Calibri" w:hAnsi="Calibri"/>
                <w:i/>
                <w:iCs/>
                <w:sz w:val="19"/>
                <w:szCs w:val="19"/>
              </w:rPr>
              <w:t xml:space="preserve">affects VAT recovery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Fleet manager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Insurance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[INSURER]</w:t>
            </w:r>
            <w:r>
              <w:rPr>
                <w:rFonts w:ascii="Calibri" w:cs="Calibri" w:eastAsia="Calibri" w:hAnsi="Calibri"/>
                <w:sz w:val="19"/>
                <w:szCs w:val="19"/>
              </w:rPr>
              <w:t xml:space="preserve">, policy </w:t>
            </w:r>
            <w:r>
              <w:rPr>
                <w:rFonts w:ascii="Calibri" w:cs="Calibri" w:eastAsia="Calibri" w:hAnsi="Calibri"/>
                <w:b/>
                <w:bCs/>
                <w:sz w:val="19"/>
                <w:szCs w:val="19"/>
              </w:rPr>
              <w:t xml:space="preserve">[NUMBER]</w:t>
            </w:r>
            <w:r>
              <w:rPr>
                <w:rFonts w:ascii="Calibri" w:cs="Calibri" w:eastAsia="Calibri" w:hAnsi="Calibri"/>
                <w:sz w:val="19"/>
                <w:szCs w:val="19"/>
              </w:rPr>
              <w:t xml:space="preserve">, expiry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Salik / toll account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Fines checked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[Monthly]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ANYONE DRIVES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662"/>
        <w:gridCol w:w="4047"/>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Valid UAE driving licence held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foreign licence is not enough for a resident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covers the vehicle class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Light, heavy, bus, forklift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Copy of the licence on file and diarised for expiry</w:t>
            </w:r>
          </w:p>
        </w:tc>
        <w:tc>
          <w:tcPr>
            <w:tcW w:type="dxa" w:w="4047"/>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Driver named on the insurance where required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the policy terms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Vehicle registration current</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Renewal requires fines cleared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Vehicle insurance in force and adequate</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Third party as a minimum; comprehensive advisable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Vehicle tested and roadworthy</w:t>
            </w:r>
          </w:p>
        </w:tc>
        <w:tc>
          <w:tcPr>
            <w:tcW w:type="dxa" w:w="4047"/>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Handover condition recorded with photographs</w:t>
            </w:r>
          </w:p>
        </w:tc>
        <w:tc>
          <w:tcPr>
            <w:tcW w:type="dxa" w:w="4047"/>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Driver briefed on this policy and signed</w:t>
            </w:r>
          </w:p>
        </w:tc>
        <w:tc>
          <w:tcPr>
            <w:tcW w:type="dxa" w:w="4047"/>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Personal use position confirmed in writing</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Tax and insurance consequences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A UAE resident must hold a UAE driving licence.</w:t>
      </w:r>
      <w:r>
        <w:rPr>
          <w:rFonts w:ascii="Calibri" w:cs="Calibri" w:eastAsia="Calibri" w:hAnsi="Calibri"/>
          <w:sz w:val="21"/>
          <w:szCs w:val="21"/>
        </w:rPr>
        <w:t xml:space="preserve"> Driving on a foreign or international licence once resident can invalidate insurance and creates exposure for the Company as the vehicle owner.</w:t>
      </w:r>
    </w:p>
    <w:p>
      <w:pPr>
        <w:keepNext/>
        <w:spacing w:after="120" w:before="280"/>
        <w:outlineLvl w:val="0"/>
      </w:pPr>
      <w:r>
        <w:rPr>
          <w:rFonts w:ascii="Calibri" w:cs="Calibri" w:eastAsia="Calibri" w:hAnsi="Calibri"/>
          <w:b/>
          <w:bCs/>
          <w:color w:val="14161B"/>
          <w:sz w:val="22"/>
          <w:szCs w:val="22"/>
        </w:rPr>
        <w:t xml:space="preserve">2. USING THE VEHICLE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Company vehicles are for </w:t>
      </w:r>
      <w:r>
        <w:rPr>
          <w:rFonts w:ascii="Calibri" w:cs="Calibri" w:eastAsia="Calibri" w:hAnsi="Calibri"/>
          <w:b/>
          <w:bCs/>
          <w:sz w:val="21"/>
          <w:szCs w:val="21"/>
        </w:rPr>
        <w:t xml:space="preserve">business use</w:t>
      </w:r>
      <w:r>
        <w:rPr>
          <w:rFonts w:ascii="Calibri" w:cs="Calibri" w:eastAsia="Calibri" w:hAnsi="Calibri"/>
          <w:sz w:val="21"/>
          <w:szCs w:val="21"/>
        </w:rPr>
        <w:t xml:space="preserve"> </w:t>
      </w:r>
      <w:r>
        <w:rPr>
          <w:rFonts w:ascii="Calibri" w:cs="Calibri" w:eastAsia="Calibri" w:hAnsi="Calibri"/>
          <w:b/>
          <w:bCs/>
          <w:sz w:val="21"/>
          <w:szCs w:val="21"/>
        </w:rPr>
        <w:t xml:space="preserve">[and permitted personal use as stated]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Drivers shall obey traffic law, observe speed limits, not use a handheld phone while driving, and ensure seatbelts are worn.</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No alcohol.</w:t>
      </w:r>
      <w:r>
        <w:rPr>
          <w:rFonts w:ascii="Calibri" w:cs="Calibri" w:eastAsia="Calibri" w:hAnsi="Calibri"/>
          <w:sz w:val="21"/>
          <w:szCs w:val="21"/>
        </w:rPr>
        <w:t xml:space="preserve"> The UAE applies a zero-tolerance approach to drink driving, with severe consequences including detention and effects on residence status.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vehicle shall not be used by anyone not authorised, including family members, unless expressly permitted in writing.</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Drivers shall report any damage, incident or warning light immediately.</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Fuel and tolls are paid through the Company account; personal journeys are </w:t>
      </w:r>
      <w:r>
        <w:rPr>
          <w:rFonts w:ascii="Calibri" w:cs="Calibri" w:eastAsia="Calibri" w:hAnsi="Calibri"/>
          <w:b/>
          <w:bCs/>
          <w:sz w:val="21"/>
          <w:szCs w:val="21"/>
        </w:rPr>
        <w:t xml:space="preserve">[reimbursed at ______ per kilometre / not permitted]</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3. FINES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Traffic fines attach to the vehicle</w:t>
      </w:r>
      <w:r>
        <w:rPr>
          <w:rFonts w:ascii="Calibri" w:cs="Calibri" w:eastAsia="Calibri" w:hAnsi="Calibri"/>
          <w:sz w:val="21"/>
          <w:szCs w:val="21"/>
        </w:rPr>
        <w:t xml:space="preserve"> and are issued to the registered owner — the Company — regardless of who was driving.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 for fines monthly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not wait for renewal to discover them</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Identify the driver from the vehicle log</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 log is what makes this possible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driver promptly with the details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They may wish to contest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 or contest within the applicable period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Discounts for early payment may apply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Recover from the driver only where lawful</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Deduction limits apply; get written agreement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repeat offenders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pattern is a safety issue, not an admin 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Clear all fines before registration renewal</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Outstanding fines block renewal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Clear fines before the driver leaves the Company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Recovery afterwards is impractical</w:t>
            </w:r>
          </w:p>
        </w:tc>
      </w:tr>
    </w:tbl>
    <w:p>
      <w:pPr>
        <w:spacing w:after="140"/>
      </w:pP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Outstanding fines can block vehicle registration renewal and, in some cases, other transactions.</w:t>
      </w:r>
      <w:r>
        <w:rPr>
          <w:rFonts w:ascii="Calibri" w:cs="Calibri" w:eastAsia="Calibri" w:hAnsi="Calibri"/>
          <w:sz w:val="21"/>
          <w:szCs w:val="21"/>
        </w:rPr>
        <w:t xml:space="preserve"> Discovering a year of accumulated fines at renewal is a self-inflicted delay.</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i/>
          <w:iCs/>
          <w:sz w:val="21"/>
          <w:szCs w:val="21"/>
        </w:rPr>
        <w:t xml:space="preserve">Recovering fines from a driver requires a lawful basis and stays within statutory deduction limits. Agree the position in writing when the vehicle is issued, not after the first fine.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ACCIDENTS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4820"/>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48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Ensure safety; call emergency services if anyone is injured</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anything else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Obtain a police report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Insurers generally will not settle without 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not admit liability</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anyone at the scene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Photograph the scene, vehicles and damage</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moving where safe to do so</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Exchange details with the other party</w:t>
            </w:r>
          </w:p>
        </w:tc>
        <w:tc>
          <w:tcPr>
            <w:tcW w:type="dxa" w:w="4820"/>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Company immediately</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r>
              <w:rPr>
                <w:rFonts w:ascii="Calibri" w:cs="Calibri" w:eastAsia="Calibri" w:hAnsi="Calibri"/>
                <w:sz w:val="17"/>
                <w:szCs w:val="17"/>
              </w:rPr>
              <w:t xml:space="preserve">, </w:t>
            </w:r>
            <w:r>
              <w:rPr>
                <w:rFonts w:ascii="Calibri" w:cs="Calibri" w:eastAsia="Calibri" w:hAnsi="Calibri"/>
                <w:b/>
                <w:bCs/>
                <w:sz w:val="17"/>
                <w:szCs w:val="17"/>
              </w:rPr>
              <w:t xml:space="preserve">[PHONE]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insurer within the policy deadline</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Late notice can void cover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Complete the incident report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Same day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Arrange repair through the approved route</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Unapproved repairs can affect cover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the cause — not just the damage</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Pattern, fatigue, route, vehicle condition</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The police report is essential.</w:t>
      </w:r>
      <w:r>
        <w:rPr>
          <w:rFonts w:ascii="Calibri" w:cs="Calibri" w:eastAsia="Calibri" w:hAnsi="Calibri"/>
          <w:sz w:val="21"/>
          <w:szCs w:val="21"/>
        </w:rPr>
        <w:t xml:space="preserve"> Without it, insurers generally will not settle and repairs may not be permitted. Obtain one even for minor damage.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Where an employee is injured driving on Company business, it is a </w:t>
      </w:r>
      <w:r>
        <w:rPr>
          <w:rFonts w:ascii="Calibri" w:cs="Calibri" w:eastAsia="Calibri" w:hAnsi="Calibri"/>
          <w:b/>
          <w:bCs/>
          <w:sz w:val="21"/>
          <w:szCs w:val="21"/>
        </w:rPr>
        <w:t xml:space="preserve">work injury</w:t>
      </w:r>
      <w:r>
        <w:rPr>
          <w:rFonts w:ascii="Calibri" w:cs="Calibri" w:eastAsia="Calibri" w:hAnsi="Calibri"/>
          <w:sz w:val="21"/>
          <w:szCs w:val="21"/>
        </w:rPr>
        <w:t xml:space="preserve"> with its own reporting and insurance consequences.</w:t>
      </w:r>
    </w:p>
    <w:p>
      <w:pPr>
        <w:keepNext/>
        <w:spacing w:after="120" w:before="280"/>
        <w:outlineLvl w:val="0"/>
      </w:pPr>
      <w:r>
        <w:rPr>
          <w:rFonts w:ascii="Calibri" w:cs="Calibri" w:eastAsia="Calibri" w:hAnsi="Calibri"/>
          <w:b/>
          <w:bCs/>
          <w:color w:val="14161B"/>
          <w:sz w:val="22"/>
          <w:szCs w:val="22"/>
        </w:rPr>
        <w:t xml:space="preserve">5. TAX</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240"/>
        <w:gridCol w:w="5398"/>
      </w:tblGrid>
      <w:tr>
        <w:trPr>
          <w:cantSplit/>
          <w:tblHeader/>
        </w:trPr>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53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r>
      <w:tr>
        <w:trPr>
          <w:cantSplit/>
        </w:trP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Input VAT on a vehicle available for personal use</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Generally blocked from recovery</w:t>
            </w:r>
          </w:p>
        </w:tc>
      </w:tr>
      <w:tr>
        <w:trPr>
          <w:cantSplit/>
        </w:trP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Input VAT on a vehicle used exclusively for business</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[Recoverable — but the exclusivity must be real and evidenced]</w:t>
            </w:r>
          </w:p>
        </w:tc>
      </w:tr>
      <w:tr>
        <w:trPr>
          <w:cantSplit/>
        </w:trP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Fuel, servicing and running costs</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Follow the vehicle’s treatment</w:t>
            </w:r>
          </w:p>
        </w:tc>
      </w:tr>
      <w:tr>
        <w:trPr>
          <w:cantSplit/>
        </w:trP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Fines and penalties</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Never recoverable, never deductible</w:t>
            </w:r>
          </w:p>
        </w:tc>
      </w:tr>
      <w:tr>
        <w:trPr>
          <w:cantSplit/>
        </w:trP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tax deduction</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Business proportion only; personal use apportioned</w:t>
            </w:r>
          </w:p>
        </w:tc>
      </w:tr>
      <w:tr>
        <w:trPr>
          <w:cantSplit/>
        </w:trP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Vehicle provided as a benefit</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[Consider the treatment in the package]</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The exclusivity test is demanding. A vehicle kept at an employee’s home and available at weekends is available for personal use, whatever the policy says. Where recovery is claimed, the evidence — logs, parking, restrictions — needs to support it.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Code fines to a non-recoverable, non-deductible category by default.</w:t>
      </w:r>
      <w:r>
        <w:rPr>
          <w:rFonts w:ascii="Calibri" w:cs="Calibri" w:eastAsia="Calibri" w:hAnsi="Calibri"/>
          <w:sz w:val="21"/>
          <w:szCs w:val="21"/>
        </w:rPr>
        <w:t xml:space="preserve"> Paying an employee’s fine and booking it as an expense is a double error.</w:t>
      </w:r>
    </w:p>
    <w:p>
      <w:pPr>
        <w:keepNext/>
        <w:spacing w:after="120" w:before="280"/>
        <w:outlineLvl w:val="0"/>
      </w:pPr>
      <w:r>
        <w:rPr>
          <w:rFonts w:ascii="Calibri" w:cs="Calibri" w:eastAsia="Calibri" w:hAnsi="Calibri"/>
          <w:b/>
          <w:bCs/>
          <w:color w:val="14161B"/>
          <w:sz w:val="22"/>
          <w:szCs w:val="22"/>
        </w:rPr>
        <w:t xml:space="preserve">6. FLEET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734"/>
        <w:gridCol w:w="1060"/>
        <w:gridCol w:w="1445"/>
        <w:gridCol w:w="1349"/>
        <w:gridCol w:w="1445"/>
        <w:gridCol w:w="1060"/>
        <w:gridCol w:w="1160"/>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Vehicle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Plate</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Registration expiry</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Insurance expiry</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Assigned to</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Personal use</w:t>
            </w:r>
          </w:p>
        </w:tc>
        <w:tc>
          <w:tcPr>
            <w:tcW w:type="dxa" w:w="11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Last service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[MAKE/MODEL]</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[PLATE]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[MAKE/MODEL]</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[PLATE]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[MAKE/MODEL]</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[PLATE]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A </w:t>
      </w:r>
      <w:r>
        <w:rPr>
          <w:rFonts w:ascii="Calibri" w:cs="Calibri" w:eastAsia="Calibri" w:hAnsi="Calibri"/>
          <w:b/>
          <w:bCs/>
          <w:sz w:val="21"/>
          <w:szCs w:val="21"/>
        </w:rPr>
        <w:t xml:space="preserve">vehicle log</w:t>
      </w:r>
      <w:r>
        <w:rPr>
          <w:rFonts w:ascii="Calibri" w:cs="Calibri" w:eastAsia="Calibri" w:hAnsi="Calibri"/>
          <w:sz w:val="21"/>
          <w:szCs w:val="21"/>
        </w:rPr>
        <w:t xml:space="preserve"> recording who had which vehicle and when is what makes fine attribution and incident investigation possible. Without it, neither can be done.</w:t>
      </w:r>
    </w:p>
    <w:p>
      <w:pPr>
        <w:keepNext/>
        <w:spacing w:after="120" w:before="280"/>
        <w:outlineLvl w:val="0"/>
      </w:pPr>
      <w:r>
        <w:rPr>
          <w:rFonts w:ascii="Calibri" w:cs="Calibri" w:eastAsia="Calibri" w:hAnsi="Calibri"/>
          <w:b/>
          <w:bCs/>
          <w:color w:val="14161B"/>
          <w:sz w:val="22"/>
          <w:szCs w:val="22"/>
        </w:rPr>
        <w:t xml:space="preserve">7. ON DEPARTURE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Vehicle returned and condition recorded against handover photographs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All outstanding fines identified and settled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agreed recovery deducted within lawful limits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Fuel and toll cards cancelled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Driver removed from the insurance where named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Vehicle reassigned or returned to the lessor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updated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Fines attach to the vehicle, not the driver</w:t>
      </w:r>
    </w:p>
    <w:p>
      <w:pPr>
        <w:spacing w:after="60" w:line="264"/>
        <w:jc w:val="both"/>
      </w:pPr>
      <w:r>
        <w:rPr>
          <w:rFonts w:ascii="Calibri" w:cs="Calibri" w:eastAsia="Calibri" w:hAnsi="Calibri"/>
          <w:sz w:val="19"/>
          <w:szCs w:val="19"/>
        </w:rPr>
        <w:t xml:space="preserve">They arrive at the registered owner — the Company — regardless of who was driving, and they can block registration renewal. A monthly check and a vehicle log are what make attribution possible at all.</w:t>
      </w:r>
    </w:p>
    <w:p>
      <w:pPr>
        <w:keepNext/>
        <w:spacing w:after="40" w:before="140"/>
      </w:pPr>
      <w:r>
        <w:rPr>
          <w:rFonts w:ascii="Calibri" w:cs="Calibri" w:eastAsia="Calibri" w:hAnsi="Calibri"/>
          <w:b/>
          <w:bCs/>
          <w:color w:val="14161B"/>
          <w:sz w:val="20"/>
          <w:szCs w:val="20"/>
        </w:rPr>
        <w:t xml:space="preserve">Check fines monthly, not at renewal</w:t>
      </w:r>
    </w:p>
    <w:p>
      <w:pPr>
        <w:spacing w:after="60" w:line="264"/>
        <w:jc w:val="both"/>
      </w:pPr>
      <w:r>
        <w:rPr>
          <w:rFonts w:ascii="Calibri" w:cs="Calibri" w:eastAsia="Calibri" w:hAnsi="Calibri"/>
          <w:sz w:val="19"/>
          <w:szCs w:val="19"/>
        </w:rPr>
        <w:t xml:space="preserve">Discovering a year of accumulated fines when trying to renew registration is a self-inflicted delay, and early-payment discounts will have been lost. It takes minutes to check.</w:t>
      </w:r>
    </w:p>
    <w:p>
      <w:pPr>
        <w:keepNext/>
        <w:spacing w:after="40" w:before="140"/>
      </w:pPr>
      <w:r>
        <w:rPr>
          <w:rFonts w:ascii="Calibri" w:cs="Calibri" w:eastAsia="Calibri" w:hAnsi="Calibri"/>
          <w:b/>
          <w:bCs/>
          <w:color w:val="14161B"/>
          <w:sz w:val="20"/>
          <w:szCs w:val="20"/>
        </w:rPr>
        <w:t xml:space="preserve">Clear fines before a driver leaves</w:t>
      </w:r>
    </w:p>
    <w:p>
      <w:pPr>
        <w:spacing w:after="60" w:line="264"/>
        <w:jc w:val="both"/>
      </w:pPr>
      <w:r>
        <w:rPr>
          <w:rFonts w:ascii="Calibri" w:cs="Calibri" w:eastAsia="Calibri" w:hAnsi="Calibri"/>
          <w:sz w:val="19"/>
          <w:szCs w:val="19"/>
        </w:rPr>
        <w:t xml:space="preserve">Recovery from someone who has already gone is impractical, and the fine remains attached to the vehicle. Make it part of the offboarding checklist alongside the vehicle return.</w:t>
      </w:r>
    </w:p>
    <w:p>
      <w:pPr>
        <w:keepNext/>
        <w:spacing w:after="40" w:before="140"/>
      </w:pPr>
      <w:r>
        <w:rPr>
          <w:rFonts w:ascii="Calibri" w:cs="Calibri" w:eastAsia="Calibri" w:hAnsi="Calibri"/>
          <w:b/>
          <w:bCs/>
          <w:color w:val="14161B"/>
          <w:sz w:val="20"/>
          <w:szCs w:val="20"/>
        </w:rPr>
        <w:t xml:space="preserve">Residents need a UAE licence</w:t>
      </w:r>
    </w:p>
    <w:p>
      <w:pPr>
        <w:spacing w:after="60" w:line="264"/>
        <w:jc w:val="both"/>
      </w:pPr>
      <w:r>
        <w:rPr>
          <w:rFonts w:ascii="Calibri" w:cs="Calibri" w:eastAsia="Calibri" w:hAnsi="Calibri"/>
          <w:sz w:val="19"/>
          <w:szCs w:val="19"/>
        </w:rPr>
        <w:t xml:space="preserve">Driving on a foreign or international licence once resident can invalidate insurance and creates exposure for the Company as vehicle owner. Check at issue and diarise the expiry.</w:t>
      </w:r>
    </w:p>
    <w:p>
      <w:pPr>
        <w:keepNext/>
        <w:spacing w:after="40" w:before="140"/>
      </w:pPr>
      <w:r>
        <w:rPr>
          <w:rFonts w:ascii="Calibri" w:cs="Calibri" w:eastAsia="Calibri" w:hAnsi="Calibri"/>
          <w:b/>
          <w:bCs/>
          <w:color w:val="14161B"/>
          <w:sz w:val="20"/>
          <w:szCs w:val="20"/>
        </w:rPr>
        <w:t xml:space="preserve">Personal use is a tax question</w:t>
      </w:r>
    </w:p>
    <w:p>
      <w:pPr>
        <w:spacing w:after="60" w:line="264"/>
        <w:jc w:val="both"/>
      </w:pPr>
      <w:r>
        <w:rPr>
          <w:rFonts w:ascii="Calibri" w:cs="Calibri" w:eastAsia="Calibri" w:hAnsi="Calibri"/>
          <w:sz w:val="19"/>
          <w:szCs w:val="19"/>
        </w:rPr>
        <w:t xml:space="preserve">Input VAT on a vehicle available for personal use is generally blocked from recovery, and the exclusivity test for business-only use is demanding. A vehicle kept at an employee’s home at weekends is available for personal use whatever the policy says.</w:t>
      </w:r>
    </w:p>
    <w:p>
      <w:pPr>
        <w:keepNext/>
        <w:spacing w:after="40" w:before="140"/>
      </w:pPr>
      <w:r>
        <w:rPr>
          <w:rFonts w:ascii="Calibri" w:cs="Calibri" w:eastAsia="Calibri" w:hAnsi="Calibri"/>
          <w:b/>
          <w:bCs/>
          <w:color w:val="14161B"/>
          <w:sz w:val="20"/>
          <w:szCs w:val="20"/>
        </w:rPr>
        <w:t xml:space="preserve">Code fines as non-recoverable and non-deductible</w:t>
      </w:r>
    </w:p>
    <w:p>
      <w:pPr>
        <w:spacing w:after="60" w:line="264"/>
        <w:jc w:val="both"/>
      </w:pPr>
      <w:r>
        <w:rPr>
          <w:rFonts w:ascii="Calibri" w:cs="Calibri" w:eastAsia="Calibri" w:hAnsi="Calibri"/>
          <w:sz w:val="19"/>
          <w:szCs w:val="19"/>
        </w:rPr>
        <w:t xml:space="preserve">They are neither. Paying an employee’s traffic fine and booking it as a business expense is a double error, and it repeats every time until the coding is fixed.</w:t>
      </w:r>
    </w:p>
    <w:p>
      <w:pPr>
        <w:keepNext/>
        <w:spacing w:after="40" w:before="140"/>
      </w:pPr>
      <w:r>
        <w:rPr>
          <w:rFonts w:ascii="Calibri" w:cs="Calibri" w:eastAsia="Calibri" w:hAnsi="Calibri"/>
          <w:b/>
          <w:bCs/>
          <w:color w:val="14161B"/>
          <w:sz w:val="20"/>
          <w:szCs w:val="20"/>
        </w:rPr>
        <w:t xml:space="preserve">Recovering fines needs a lawful basis</w:t>
      </w:r>
    </w:p>
    <w:p>
      <w:pPr>
        <w:spacing w:after="60" w:line="264"/>
        <w:jc w:val="both"/>
      </w:pPr>
      <w:r>
        <w:rPr>
          <w:rFonts w:ascii="Calibri" w:cs="Calibri" w:eastAsia="Calibri" w:hAnsi="Calibri"/>
          <w:sz w:val="19"/>
          <w:szCs w:val="19"/>
        </w:rPr>
        <w:t xml:space="preserve">Deduction limits apply and written agreement should be in place before the first fine, not negotiated after it. Agree the position when the vehicle is issued.</w:t>
      </w:r>
    </w:p>
    <w:p>
      <w:pPr>
        <w:keepNext/>
        <w:spacing w:after="40" w:before="140"/>
      </w:pPr>
      <w:r>
        <w:rPr>
          <w:rFonts w:ascii="Calibri" w:cs="Calibri" w:eastAsia="Calibri" w:hAnsi="Calibri"/>
          <w:b/>
          <w:bCs/>
          <w:color w:val="14161B"/>
          <w:sz w:val="20"/>
          <w:szCs w:val="20"/>
        </w:rPr>
        <w:t xml:space="preserve">Get a police report for every accident</w:t>
      </w:r>
    </w:p>
    <w:p>
      <w:pPr>
        <w:spacing w:after="60" w:line="264"/>
        <w:jc w:val="both"/>
      </w:pPr>
      <w:r>
        <w:rPr>
          <w:rFonts w:ascii="Calibri" w:cs="Calibri" w:eastAsia="Calibri" w:hAnsi="Calibri"/>
          <w:sz w:val="19"/>
          <w:szCs w:val="19"/>
        </w:rPr>
        <w:t xml:space="preserve">Insurers generally will not settle without one and repairs may not be permitted. Obtain it even for minor damage — this is the step people skip when the damage looks trivial.</w:t>
      </w:r>
    </w:p>
    <w:p>
      <w:pPr>
        <w:keepNext/>
        <w:spacing w:after="40" w:before="140"/>
      </w:pPr>
      <w:r>
        <w:rPr>
          <w:rFonts w:ascii="Calibri" w:cs="Calibri" w:eastAsia="Calibri" w:hAnsi="Calibri"/>
          <w:b/>
          <w:bCs/>
          <w:color w:val="14161B"/>
          <w:sz w:val="20"/>
          <w:szCs w:val="20"/>
        </w:rPr>
        <w:t xml:space="preserve">Do not admit liability at the scene</w:t>
      </w:r>
    </w:p>
    <w:p>
      <w:pPr>
        <w:spacing w:after="60" w:line="264"/>
        <w:jc w:val="both"/>
      </w:pPr>
      <w:r>
        <w:rPr>
          <w:rFonts w:ascii="Calibri" w:cs="Calibri" w:eastAsia="Calibri" w:hAnsi="Calibri"/>
          <w:sz w:val="19"/>
          <w:szCs w:val="19"/>
        </w:rPr>
        <w:t xml:space="preserve">It can affect cover and the insurer’s position. Exchange details, photograph everything, report promptly, and leave liability to the insurer.</w:t>
      </w:r>
    </w:p>
    <w:p>
      <w:pPr>
        <w:keepNext/>
        <w:spacing w:after="40" w:before="140"/>
      </w:pPr>
      <w:r>
        <w:rPr>
          <w:rFonts w:ascii="Calibri" w:cs="Calibri" w:eastAsia="Calibri" w:hAnsi="Calibri"/>
          <w:b/>
          <w:bCs/>
          <w:color w:val="14161B"/>
          <w:sz w:val="20"/>
          <w:szCs w:val="20"/>
        </w:rPr>
        <w:t xml:space="preserve">Zero tolerance on alcohol</w:t>
      </w:r>
    </w:p>
    <w:p>
      <w:pPr>
        <w:spacing w:after="60" w:line="264"/>
        <w:jc w:val="both"/>
      </w:pPr>
      <w:r>
        <w:rPr>
          <w:rFonts w:ascii="Calibri" w:cs="Calibri" w:eastAsia="Calibri" w:hAnsi="Calibri"/>
          <w:sz w:val="19"/>
          <w:szCs w:val="19"/>
        </w:rPr>
        <w:t xml:space="preserve">The consequences of drink driving in the UAE are severe and reach residence status as well as employment. It belongs in the policy explicitly, because employees arriving from other jurisdictions carry different assumptions.</w:t>
      </w:r>
    </w:p>
    <w:p>
      <w:pPr>
        <w:keepNext/>
        <w:spacing w:after="40" w:before="140"/>
      </w:pPr>
      <w:r>
        <w:rPr>
          <w:rFonts w:ascii="Calibri" w:cs="Calibri" w:eastAsia="Calibri" w:hAnsi="Calibri"/>
          <w:b/>
          <w:bCs/>
          <w:color w:val="14161B"/>
          <w:sz w:val="20"/>
          <w:szCs w:val="20"/>
        </w:rPr>
        <w:t xml:space="preserve">Keep a vehicle log</w:t>
      </w:r>
    </w:p>
    <w:p>
      <w:pPr>
        <w:spacing w:after="60" w:line="264"/>
        <w:jc w:val="both"/>
      </w:pPr>
      <w:r>
        <w:rPr>
          <w:rFonts w:ascii="Calibri" w:cs="Calibri" w:eastAsia="Calibri" w:hAnsi="Calibri"/>
          <w:sz w:val="19"/>
          <w:szCs w:val="19"/>
        </w:rPr>
        <w:t xml:space="preserve">Who had which vehicle and when. Without it, fines cannot be attributed, incidents cannot be investigated, and the personal-use position cannot be evidenced. It is a single spreadsheet.</w:t>
      </w:r>
    </w:p>
    <w:p>
      <w:pPr>
        <w:keepNext/>
        <w:spacing w:after="40" w:before="140"/>
      </w:pPr>
      <w:r>
        <w:rPr>
          <w:rFonts w:ascii="Calibri" w:cs="Calibri" w:eastAsia="Calibri" w:hAnsi="Calibri"/>
          <w:b/>
          <w:bCs/>
          <w:color w:val="14161B"/>
          <w:sz w:val="20"/>
          <w:szCs w:val="20"/>
        </w:rPr>
        <w:t xml:space="preserve">Photograph the vehicle at handover and return</w:t>
      </w:r>
    </w:p>
    <w:p>
      <w:pPr>
        <w:spacing w:after="60" w:line="264"/>
        <w:jc w:val="both"/>
      </w:pPr>
      <w:r>
        <w:rPr>
          <w:rFonts w:ascii="Calibri" w:cs="Calibri" w:eastAsia="Calibri" w:hAnsi="Calibri"/>
          <w:sz w:val="19"/>
          <w:szCs w:val="19"/>
        </w:rPr>
        <w:t xml:space="preserve">Condition disputes at return are otherwise arguments about memory. Photographs at both ends cost nothing and settle it.</w:t>
      </w:r>
    </w:p>
    <w:p>
      <w:pPr>
        <w:keepNext/>
        <w:spacing w:after="40" w:before="140"/>
      </w:pPr>
      <w:r>
        <w:rPr>
          <w:rFonts w:ascii="Calibri" w:cs="Calibri" w:eastAsia="Calibri" w:hAnsi="Calibri"/>
          <w:b/>
          <w:bCs/>
          <w:color w:val="14161B"/>
          <w:sz w:val="20"/>
          <w:szCs w:val="20"/>
        </w:rPr>
        <w:t xml:space="preserve">A work-related accident is a work injury</w:t>
      </w:r>
    </w:p>
    <w:p>
      <w:pPr>
        <w:spacing w:after="60" w:line="264"/>
        <w:jc w:val="both"/>
      </w:pPr>
      <w:r>
        <w:rPr>
          <w:rFonts w:ascii="Calibri" w:cs="Calibri" w:eastAsia="Calibri" w:hAnsi="Calibri"/>
          <w:sz w:val="19"/>
          <w:szCs w:val="19"/>
        </w:rPr>
        <w:t xml:space="preserve">An employee injured while driving on Company business engages work injury reporting and insurance, not just motor cover. Handle it under both.</w:t>
      </w:r>
    </w:p>
    <w:p>
      <w:pPr>
        <w:keepNext/>
        <w:spacing w:after="40" w:before="140"/>
      </w:pPr>
      <w:r>
        <w:rPr>
          <w:rFonts w:ascii="Calibri" w:cs="Calibri" w:eastAsia="Calibri" w:hAnsi="Calibri"/>
          <w:b/>
          <w:bCs/>
          <w:color w:val="14161B"/>
          <w:sz w:val="20"/>
          <w:szCs w:val="20"/>
        </w:rPr>
        <w:t xml:space="preserve">Look at patterns, not just individual fines</w:t>
      </w:r>
    </w:p>
    <w:p>
      <w:pPr>
        <w:spacing w:after="60" w:line="264"/>
        <w:jc w:val="both"/>
      </w:pPr>
      <w:r>
        <w:rPr>
          <w:rFonts w:ascii="Calibri" w:cs="Calibri" w:eastAsia="Calibri" w:hAnsi="Calibri"/>
          <w:sz w:val="19"/>
          <w:szCs w:val="19"/>
        </w:rPr>
        <w:t xml:space="preserve">Repeat speeding by the same driver is a safety issue with a consequence for everyone else on the road, not an administrative matter to be paid and forgotten.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Traffic law and penalties, licensing requirements, registration and insurance rules, toll arrangements and VAT recovery on vehicles all change and differ by emirate — confirm current requirements with the relevant traffic authority and the Federal Tax Authority.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2026-08-23T16:28:33.503Z</dcterms:created>
  <dcterms:modified xsi:type="dcterms:W3CDTF">2026-08-23T16:28:33.503Z</dcterms:modified>
</cp:coreProperties>
</file>

<file path=docProps/custom.xml><?xml version="1.0" encoding="utf-8"?>
<Properties xmlns="http://schemas.openxmlformats.org/officeDocument/2006/custom-properties" xmlns:vt="http://schemas.openxmlformats.org/officeDocument/2006/docPropsVTypes"/>
</file>