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COMMERCIAL TENANCY</w:t>
      </w:r>
    </w:p>
    <w:p>
      <w:pPr>
        <w:spacing w:after="260"/>
        <w:jc w:val="center"/>
      </w:pPr>
      <w:r>
        <w:rPr>
          <w:rFonts w:ascii="Calibri" w:cs="Calibri" w:eastAsia="Calibri" w:hAnsi="Calibri"/>
          <w:i/>
          <w:iCs/>
          <w:color w:val="6E7480"/>
          <w:sz w:val="19"/>
          <w:szCs w:val="19"/>
        </w:rPr>
        <w:t xml:space="preserve">Lease, registration and the licence connection</w:t>
      </w:r>
    </w:p>
    <w:p>
      <w:pPr>
        <w:spacing w:after="180" w:before="0" w:line="276"/>
        <w:jc w:val="both"/>
      </w:pPr>
      <w:r>
        <w:rPr>
          <w:rFonts w:ascii="Calibri" w:cs="Calibri" w:eastAsia="Calibri" w:hAnsi="Calibri"/>
          <w:i/>
          <w:iCs/>
          <w:color w:val="6E7480"/>
          <w:sz w:val="21"/>
          <w:szCs w:val="21"/>
        </w:rPr>
        <w:t xml:space="preserve">A commercial lease in the UAE is not only a property matter. </w:t>
      </w:r>
      <w:r>
        <w:rPr>
          <w:rFonts w:ascii="Calibri" w:cs="Calibri" w:eastAsia="Calibri" w:hAnsi="Calibri"/>
          <w:b/>
          <w:bCs/>
          <w:i/>
          <w:iCs/>
          <w:color w:val="6E7480"/>
          <w:sz w:val="21"/>
          <w:szCs w:val="21"/>
        </w:rPr>
        <w:t xml:space="preserve">Registration — Ejari in Dubai, Tawtheeq in Abu Dhabi, equivalents elsewhere — is what the trade licence depends on</w:t>
      </w:r>
      <w:r>
        <w:rPr>
          <w:rFonts w:ascii="Calibri" w:cs="Calibri" w:eastAsia="Calibri" w:hAnsi="Calibri"/>
          <w:i/>
          <w:iCs/>
          <w:color w:val="6E7480"/>
          <w:sz w:val="21"/>
          <w:szCs w:val="21"/>
        </w:rPr>
        <w:t xml:space="preserve">, and the visa quota depends on the space. A lease problem becomes a licensing problem, then a hiring problem, faster than tenants expect.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Landlord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Tenant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Premises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[UNIT, BUILDING, AREA, EMIRATE]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Approximate area</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sq ft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Permitted use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r>
              <w:rPr>
                <w:rFonts w:ascii="Calibri" w:cs="Calibri" w:eastAsia="Calibri" w:hAnsi="Calibri"/>
                <w:sz w:val="19"/>
                <w:szCs w:val="19"/>
              </w:rPr>
              <w:t xml:space="preserve"> — </w:t>
            </w:r>
            <w:r>
              <w:rPr>
                <w:rFonts w:ascii="Calibri" w:cs="Calibri" w:eastAsia="Calibri" w:hAnsi="Calibri"/>
                <w:i/>
                <w:iCs/>
                <w:sz w:val="19"/>
                <w:szCs w:val="19"/>
              </w:rPr>
              <w:t xml:space="preserve">must match the licensed activity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Term</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 rent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Payment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cheques — </w:t>
            </w:r>
            <w:r>
              <w:rPr>
                <w:rFonts w:ascii="Calibri" w:cs="Calibri" w:eastAsia="Calibri" w:hAnsi="Calibri"/>
                <w:i/>
                <w:iCs/>
                <w:sz w:val="19"/>
                <w:szCs w:val="19"/>
              </w:rPr>
              <w:t xml:space="preserve">see the notes on post-dated cheques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Security deposit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Registration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[Ejari / Tawtheeq / other]</w:t>
            </w:r>
            <w:r>
              <w:rPr>
                <w:rFonts w:ascii="Calibri" w:cs="Calibri" w:eastAsia="Calibri" w:hAnsi="Calibri"/>
                <w:sz w:val="19"/>
                <w:szCs w:val="19"/>
              </w:rPr>
              <w:t xml:space="preserve"> — certificate </w:t>
            </w:r>
            <w:r>
              <w:rPr>
                <w:rFonts w:ascii="Calibri" w:cs="Calibri" w:eastAsia="Calibri" w:hAnsi="Calibri"/>
                <w:b/>
                <w:bCs/>
                <w:sz w:val="19"/>
                <w:szCs w:val="19"/>
              </w:rPr>
              <w:t xml:space="preserve">[NUMBER]</w:t>
            </w:r>
            <w:r>
              <w:rPr>
                <w:rFonts w:ascii="Calibri" w:cs="Calibri" w:eastAsia="Calibri" w:hAnsi="Calibri"/>
                <w:sz w:val="19"/>
                <w:szCs w:val="19"/>
              </w:rPr>
              <w:t xml:space="preserve">, dated </w:t>
            </w: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Visa quota supported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Fit-out and reinstatement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[See Section 5]</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SIGNING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469"/>
        <w:gridCol w:w="4240"/>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Landlord is the registered owner or has authority to lease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Leasing from someone without title creates a real problem</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Permitted use matches the licensed activity</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licence depends on it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Premises are approved for the intended use by the authority</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Planning and municipality approvals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Space supports the visa quota needed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Quota is linked to area and type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Registration will be completed and by whom</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Licence renewal depends on it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Service charges and who pays them</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Frequently a large additional cost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Chiller or air conditioning charges — included or separate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common and substantial extra</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Utilities connection and deposits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Connection in the tenant’s name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Fit-out permissions and landlord approval process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Delay here delays opening</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Reinstatement obligation at the end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Frequently expensive and unbudgeted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Rent increase mechanism and any statutory cap</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Emirate-specific rules may apply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Renewal rights and notice periods</w:t>
            </w:r>
          </w:p>
        </w:tc>
        <w:tc>
          <w:tcPr>
            <w:tcW w:type="dxa" w:w="4240"/>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60"/>
      </w:pPr>
    </w:p>
    <w:p>
      <w:pPr>
        <w:keepNext/>
        <w:spacing w:after="120" w:before="280"/>
        <w:outlineLvl w:val="0"/>
      </w:pPr>
      <w:r>
        <w:rPr>
          <w:rFonts w:ascii="Calibri" w:cs="Calibri" w:eastAsia="Calibri" w:hAnsi="Calibri"/>
          <w:b/>
          <w:bCs/>
          <w:color w:val="14161B"/>
          <w:sz w:val="22"/>
          <w:szCs w:val="22"/>
        </w:rPr>
        <w:t xml:space="preserve">2. RENT AND PAYMENT</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Annual rent is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payable </w:t>
      </w:r>
      <w:r>
        <w:rPr>
          <w:rFonts w:ascii="Calibri" w:cs="Calibri" w:eastAsia="Calibri" w:hAnsi="Calibri"/>
          <w:b/>
          <w:bCs/>
          <w:sz w:val="21"/>
          <w:szCs w:val="21"/>
        </w:rPr>
        <w:t xml:space="preserve">[in ______ instalments]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Rent is commonly paid by </w:t>
      </w:r>
      <w:r>
        <w:rPr>
          <w:rFonts w:ascii="Calibri" w:cs="Calibri" w:eastAsia="Calibri" w:hAnsi="Calibri"/>
          <w:b/>
          <w:bCs/>
          <w:sz w:val="21"/>
          <w:szCs w:val="21"/>
        </w:rPr>
        <w:t xml:space="preserve">post-dated cheques</w:t>
      </w:r>
      <w:r>
        <w:rPr>
          <w:rFonts w:ascii="Calibri" w:cs="Calibri" w:eastAsia="Calibri" w:hAnsi="Calibri"/>
          <w:sz w:val="21"/>
          <w:szCs w:val="21"/>
        </w:rPr>
        <w:t xml:space="preserve">, one per instalment, handed over at signing.</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i/>
          <w:iCs/>
          <w:sz w:val="21"/>
          <w:szCs w:val="21"/>
        </w:rPr>
        <w:t xml:space="preserve">Post-dated cheques are the market convention and they carry real consequences. A dishonoured cheque was historically a criminal matter; the position was substantially reformed in 2022 and much of it now runs through civil enforcement, with the cheque itself capable of being treated as an instrument of execution. </w:t>
      </w:r>
      <w:r>
        <w:rPr>
          <w:rFonts w:ascii="Calibri" w:cs="Calibri" w:eastAsia="Calibri" w:hAnsi="Calibri"/>
          <w:i/>
          <w:iCs/>
          <w:sz w:val="21"/>
          <w:szCs w:val="21"/>
        </w:rPr>
        <w:t xml:space="preserve">Confirm the current position before relying on either the old assumption or the new one.</w:t>
      </w:r>
      <w:r>
        <w:rPr>
          <w:rFonts w:ascii="Calibri" w:cs="Calibri" w:eastAsia="Calibri" w:hAnsi="Calibri"/>
          <w:i/>
          <w:iCs/>
          <w:sz w:val="21"/>
          <w:szCs w:val="21"/>
        </w:rPr>
        <w:t xml:space="preserve"> Either way, do not issue cheques you are not confident will clear.</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Where rent is paid by cheque, obtain a receipt for each, and reconcile presentation dates against the account.</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b/>
          <w:bCs/>
          <w:sz w:val="21"/>
          <w:szCs w:val="21"/>
        </w:rPr>
        <w:t xml:space="preserve">[Where VAT applies]</w:t>
      </w:r>
      <w:r>
        <w:rPr>
          <w:rFonts w:ascii="Calibri" w:cs="Calibri" w:eastAsia="Calibri" w:hAnsi="Calibri"/>
          <w:sz w:val="21"/>
          <w:szCs w:val="21"/>
        </w:rPr>
        <w:t xml:space="preserve"> VAT at 5% is payable in addition on commercial rent, and the tenant should receive a valid tax invoice to recover input tax.</w:t>
      </w:r>
    </w:p>
    <w:p>
      <w:pPr>
        <w:keepNext/>
        <w:spacing w:after="120" w:before="280"/>
        <w:outlineLvl w:val="0"/>
      </w:pPr>
      <w:r>
        <w:rPr>
          <w:rFonts w:ascii="Calibri" w:cs="Calibri" w:eastAsia="Calibri" w:hAnsi="Calibri"/>
          <w:b/>
          <w:bCs/>
          <w:color w:val="14161B"/>
          <w:sz w:val="22"/>
          <w:szCs w:val="22"/>
        </w:rPr>
        <w:t xml:space="preserve">3. REGISTRATION</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lease must be registered with the relevant authority — </w:t>
      </w:r>
      <w:r>
        <w:rPr>
          <w:rFonts w:ascii="Calibri" w:cs="Calibri" w:eastAsia="Calibri" w:hAnsi="Calibri"/>
          <w:b/>
          <w:bCs/>
          <w:sz w:val="21"/>
          <w:szCs w:val="21"/>
        </w:rPr>
        <w:t xml:space="preserve">Ejari</w:t>
      </w:r>
      <w:r>
        <w:rPr>
          <w:rFonts w:ascii="Calibri" w:cs="Calibri" w:eastAsia="Calibri" w:hAnsi="Calibri"/>
          <w:sz w:val="21"/>
          <w:szCs w:val="21"/>
        </w:rPr>
        <w:t xml:space="preserve"> in Dubai, </w:t>
      </w:r>
      <w:r>
        <w:rPr>
          <w:rFonts w:ascii="Calibri" w:cs="Calibri" w:eastAsia="Calibri" w:hAnsi="Calibri"/>
          <w:b/>
          <w:bCs/>
          <w:sz w:val="21"/>
          <w:szCs w:val="21"/>
        </w:rPr>
        <w:t xml:space="preserve">Tawtheeq</w:t>
      </w:r>
      <w:r>
        <w:rPr>
          <w:rFonts w:ascii="Calibri" w:cs="Calibri" w:eastAsia="Calibri" w:hAnsi="Calibri"/>
          <w:sz w:val="21"/>
          <w:szCs w:val="21"/>
        </w:rPr>
        <w:t xml:space="preserve"> in Abu Dhabi, or the equivalent in other emirates.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Registration is required for </w:t>
      </w:r>
      <w:r>
        <w:rPr>
          <w:rFonts w:ascii="Calibri" w:cs="Calibri" w:eastAsia="Calibri" w:hAnsi="Calibri"/>
          <w:b/>
          <w:bCs/>
          <w:sz w:val="21"/>
          <w:szCs w:val="21"/>
        </w:rPr>
        <w:t xml:space="preserve">trade licence issuance and renewal</w:t>
      </w:r>
      <w:r>
        <w:rPr>
          <w:rFonts w:ascii="Calibri" w:cs="Calibri" w:eastAsia="Calibri" w:hAnsi="Calibri"/>
          <w:sz w:val="21"/>
          <w:szCs w:val="21"/>
        </w:rPr>
        <w:t xml:space="preserve">, for utility connections, and for visa quota purposes.</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parties shall complete registration within </w:t>
      </w:r>
      <w:r>
        <w:rPr>
          <w:rFonts w:ascii="Calibri" w:cs="Calibri" w:eastAsia="Calibri" w:hAnsi="Calibri"/>
          <w:b/>
          <w:bCs/>
          <w:sz w:val="21"/>
          <w:szCs w:val="21"/>
        </w:rPr>
        <w:t xml:space="preserve">[PERIOD]</w:t>
      </w:r>
      <w:r>
        <w:rPr>
          <w:rFonts w:ascii="Calibri" w:cs="Calibri" w:eastAsia="Calibri" w:hAnsi="Calibri"/>
          <w:sz w:val="21"/>
          <w:szCs w:val="21"/>
        </w:rPr>
        <w:t xml:space="preserve"> of signing. Responsibility for the fee is </w:t>
      </w:r>
      <w:r>
        <w:rPr>
          <w:rFonts w:ascii="Calibri" w:cs="Calibri" w:eastAsia="Calibri" w:hAnsi="Calibri"/>
          <w:b/>
          <w:bCs/>
          <w:sz w:val="21"/>
          <w:szCs w:val="21"/>
        </w:rPr>
        <w:t xml:space="preserve">[Tenant / Landlord]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i/>
          <w:iCs/>
          <w:sz w:val="21"/>
          <w:szCs w:val="21"/>
        </w:rPr>
        <w:t xml:space="preserve">An unregistered lease is not merely an administrative gap — it can block the licence renewal, which blocks visa renewals, which stops the business. Treat registration as a completion step, not a follow-up.</w:t>
      </w:r>
    </w:p>
    <w:p>
      <w:pPr>
        <w:keepNext/>
        <w:spacing w:after="120" w:before="280"/>
        <w:outlineLvl w:val="0"/>
      </w:pPr>
      <w:r>
        <w:rPr>
          <w:rFonts w:ascii="Calibri" w:cs="Calibri" w:eastAsia="Calibri" w:hAnsi="Calibri"/>
          <w:b/>
          <w:bCs/>
          <w:color w:val="14161B"/>
          <w:sz w:val="22"/>
          <w:szCs w:val="22"/>
        </w:rPr>
        <w:t xml:space="preserve">4. OBLIGATIONS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9"/>
        <w:gridCol w:w="2409"/>
        <w:gridCol w:w="2410"/>
      </w:tblGrid>
      <w:tr>
        <w:trPr>
          <w:cantSplit/>
          <w:tblHeader/>
        </w:trPr>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24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Landlord</w:t>
            </w:r>
          </w:p>
        </w:tc>
        <w:tc>
          <w:tcPr>
            <w:tcW w:type="dxa" w:w="241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Tenant</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Structure, roof, exterior</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2410"/>
            <w:tcMar>
              <w:top w:type="dxa" w:w="70"/>
              <w:left w:type="dxa" w:w="100"/>
              <w:bottom w:type="dxa" w:w="70"/>
              <w:right w:type="dxa" w:w="100"/>
            </w:tcMar>
            <w:vAlign w:val="center"/>
          </w:tcPr>
          <w:p>
            <w:pPr>
              <w:spacing w:after="0" w:line="240"/>
              <w:jc w:val="left"/>
            </w:pP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Common areas and building services</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2410"/>
            <w:tcMar>
              <w:top w:type="dxa" w:w="70"/>
              <w:left w:type="dxa" w:w="100"/>
              <w:bottom w:type="dxa" w:w="70"/>
              <w:right w:type="dxa" w:w="100"/>
            </w:tcMar>
            <w:vAlign w:val="center"/>
          </w:tcPr>
          <w:p>
            <w:pPr>
              <w:spacing w:after="0" w:line="240"/>
              <w:jc w:val="left"/>
            </w:pP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Building insurance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2410"/>
            <w:tcMar>
              <w:top w:type="dxa" w:w="70"/>
              <w:left w:type="dxa" w:w="100"/>
              <w:bottom w:type="dxa" w:w="70"/>
              <w:right w:type="dxa" w:w="100"/>
            </w:tcMar>
            <w:vAlign w:val="center"/>
          </w:tcPr>
          <w:p>
            <w:pPr>
              <w:spacing w:after="0" w:line="240"/>
              <w:jc w:val="left"/>
            </w:pP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Interior repair and maintenance</w:t>
            </w:r>
          </w:p>
        </w:tc>
        <w:tc>
          <w:tcPr>
            <w:tcW w:type="dxa" w:w="2409"/>
            <w:tcMar>
              <w:top w:type="dxa" w:w="70"/>
              <w:left w:type="dxa" w:w="100"/>
              <w:bottom w:type="dxa" w:w="70"/>
              <w:right w:type="dxa" w:w="100"/>
            </w:tcMar>
            <w:vAlign w:val="center"/>
          </w:tcPr>
          <w:p>
            <w:pPr>
              <w:spacing w:after="0" w:line="240"/>
              <w:jc w:val="left"/>
            </w:pPr>
          </w:p>
        </w:tc>
        <w:tc>
          <w:tcPr>
            <w:tcW w:type="dxa" w:w="241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Air conditioning within the premises</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[Specify]</w:t>
            </w:r>
          </w:p>
        </w:tc>
        <w:tc>
          <w:tcPr>
            <w:tcW w:type="dxa" w:w="241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[Specify]</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Utilities and connection deposits</w:t>
            </w:r>
          </w:p>
        </w:tc>
        <w:tc>
          <w:tcPr>
            <w:tcW w:type="dxa" w:w="2409"/>
            <w:tcMar>
              <w:top w:type="dxa" w:w="70"/>
              <w:left w:type="dxa" w:w="100"/>
              <w:bottom w:type="dxa" w:w="70"/>
              <w:right w:type="dxa" w:w="100"/>
            </w:tcMar>
            <w:vAlign w:val="center"/>
          </w:tcPr>
          <w:p>
            <w:pPr>
              <w:spacing w:after="0" w:line="240"/>
              <w:jc w:val="left"/>
            </w:pPr>
          </w:p>
        </w:tc>
        <w:tc>
          <w:tcPr>
            <w:tcW w:type="dxa" w:w="241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Service charge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[Specify]</w:t>
            </w:r>
          </w:p>
        </w:tc>
        <w:tc>
          <w:tcPr>
            <w:tcW w:type="dxa" w:w="241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[Specify]</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Contents and public liability insurance</w:t>
            </w:r>
          </w:p>
        </w:tc>
        <w:tc>
          <w:tcPr>
            <w:tcW w:type="dxa" w:w="2409"/>
            <w:tcMar>
              <w:top w:type="dxa" w:w="70"/>
              <w:left w:type="dxa" w:w="100"/>
              <w:bottom w:type="dxa" w:w="70"/>
              <w:right w:type="dxa" w:w="100"/>
            </w:tcMar>
            <w:vAlign w:val="center"/>
          </w:tcPr>
          <w:p>
            <w:pPr>
              <w:spacing w:after="0" w:line="240"/>
              <w:jc w:val="left"/>
            </w:pPr>
          </w:p>
        </w:tc>
        <w:tc>
          <w:tcPr>
            <w:tcW w:type="dxa" w:w="241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Compliance with municipality and civil defence requirements</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[Building]</w:t>
            </w:r>
          </w:p>
        </w:tc>
        <w:tc>
          <w:tcPr>
            <w:tcW w:type="dxa" w:w="241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[Premises and use]</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Registration fee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[Specify]</w:t>
            </w:r>
          </w:p>
        </w:tc>
        <w:tc>
          <w:tcPr>
            <w:tcW w:type="dxa" w:w="241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[Specify]</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Tenant shall not assign, sublet or share occupation without the Landlord’s written consent, </w:t>
      </w:r>
      <w:r>
        <w:rPr>
          <w:rFonts w:ascii="Calibri" w:cs="Calibri" w:eastAsia="Calibri" w:hAnsi="Calibri"/>
          <w:b/>
          <w:bCs/>
          <w:sz w:val="21"/>
          <w:szCs w:val="21"/>
        </w:rPr>
        <w:t xml:space="preserve">[not to be unreasonably withheld]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Tenant shall not alter the premises without consent and the necessary approvals.</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Landlord shall give the Tenant quiet enjoyment and shall not enter without reasonable notice, save in an emergency.</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FIT-OUT AND REINSTATEMENT</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Fit-out works require the Landlord’s approval of drawings, the use of approved contractors where required, and municipality and civil defence approvals.</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A rent-free fit-out period of </w:t>
      </w:r>
      <w:r>
        <w:rPr>
          <w:rFonts w:ascii="Calibri" w:cs="Calibri" w:eastAsia="Calibri" w:hAnsi="Calibri"/>
          <w:b/>
          <w:bCs/>
          <w:sz w:val="21"/>
          <w:szCs w:val="21"/>
        </w:rPr>
        <w:t xml:space="preserve">[PERIOD]</w:t>
      </w:r>
      <w:r>
        <w:rPr>
          <w:rFonts w:ascii="Calibri" w:cs="Calibri" w:eastAsia="Calibri" w:hAnsi="Calibri"/>
          <w:sz w:val="21"/>
          <w:szCs w:val="21"/>
        </w:rPr>
        <w:t xml:space="preserve"> applies, during which service charges and utilities remain payable.</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b/>
          <w:bCs/>
          <w:sz w:val="21"/>
          <w:szCs w:val="21"/>
        </w:rPr>
        <w:t xml:space="preserve">Reinstatement.</w:t>
      </w:r>
      <w:r>
        <w:rPr>
          <w:rFonts w:ascii="Calibri" w:cs="Calibri" w:eastAsia="Calibri" w:hAnsi="Calibri"/>
          <w:sz w:val="21"/>
          <w:szCs w:val="21"/>
        </w:rPr>
        <w:t xml:space="preserve"> On expiry the Tenant shall, unless the Landlord directs otherwise in writing, remove its fit-out and reinstate the premises to their original condition.</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The Tenant shall request the Landlord’s reinstatement requirements in writing </w:t>
      </w:r>
      <w:r>
        <w:rPr>
          <w:rFonts w:ascii="Calibri" w:cs="Calibri" w:eastAsia="Calibri" w:hAnsi="Calibri"/>
          <w:b/>
          <w:bCs/>
          <w:sz w:val="21"/>
          <w:szCs w:val="21"/>
        </w:rPr>
        <w:t xml:space="preserve">[2]</w:t>
      </w:r>
      <w:r>
        <w:rPr>
          <w:rFonts w:ascii="Calibri" w:cs="Calibri" w:eastAsia="Calibri" w:hAnsi="Calibri"/>
          <w:b/>
          <w:bCs/>
          <w:sz w:val="21"/>
          <w:szCs w:val="21"/>
        </w:rPr>
        <w:t xml:space="preserve"> months</w:t>
      </w:r>
      <w:r>
        <w:rPr>
          <w:rFonts w:ascii="Calibri" w:cs="Calibri" w:eastAsia="Calibri" w:hAnsi="Calibri"/>
          <w:sz w:val="21"/>
          <w:szCs w:val="21"/>
        </w:rPr>
        <w:t xml:space="preserve"> before expiry.</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i/>
          <w:iCs/>
          <w:sz w:val="21"/>
          <w:szCs w:val="21"/>
        </w:rPr>
        <w:t xml:space="preserve">Reinstatement is the most commonly unbudgeted cost in a commercial lease. Photograph the premises at handover, agree the record with the landlord, and price the strip-out before signing — not in the last month.</w:t>
      </w:r>
    </w:p>
    <w:p>
      <w:pPr>
        <w:keepNext/>
        <w:spacing w:after="120" w:before="280"/>
        <w:outlineLvl w:val="0"/>
      </w:pPr>
      <w:r>
        <w:rPr>
          <w:rFonts w:ascii="Calibri" w:cs="Calibri" w:eastAsia="Calibri" w:hAnsi="Calibri"/>
          <w:b/>
          <w:bCs/>
          <w:color w:val="14161B"/>
          <w:sz w:val="22"/>
          <w:szCs w:val="22"/>
        </w:rPr>
        <w:t xml:space="preserve">6. RENT REVIEW AND RENEWAL</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Rent for a renewal term shall be </w:t>
      </w:r>
      <w:r>
        <w:rPr>
          <w:rFonts w:ascii="Calibri" w:cs="Calibri" w:eastAsia="Calibri" w:hAnsi="Calibri"/>
          <w:b/>
          <w:bCs/>
          <w:sz w:val="21"/>
          <w:szCs w:val="21"/>
        </w:rPr>
        <w:t xml:space="preserve">[as agreed / determined by reference to the applicable emirate rent index and any statutory cap]</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Where an emirate operates a rent increase framework or index, increases are subject to it. </w:t>
      </w:r>
      <w:r>
        <w:rPr>
          <w:rFonts w:ascii="Calibri" w:cs="Calibri" w:eastAsia="Calibri" w:hAnsi="Calibri"/>
          <w:b/>
          <w:bCs/>
          <w:sz w:val="21"/>
          <w:szCs w:val="21"/>
        </w:rPr>
        <w:t xml:space="preserve">Confirm the current position for the emirate.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A party wishing to change the terms on renewal, or not to renew, must give notice by </w:t>
      </w:r>
      <w:r>
        <w:rPr>
          <w:rFonts w:ascii="Calibri" w:cs="Calibri" w:eastAsia="Calibri" w:hAnsi="Calibri"/>
          <w:b/>
          <w:bCs/>
          <w:sz w:val="21"/>
          <w:szCs w:val="21"/>
        </w:rPr>
        <w:t xml:space="preserve">[DATE / period before expiry]</w:t>
      </w:r>
      <w:r>
        <w:rPr>
          <w:rFonts w:ascii="Calibri" w:cs="Calibri" w:eastAsia="Calibri" w:hAnsi="Calibri"/>
          <w:sz w:val="21"/>
          <w:szCs w:val="21"/>
        </w:rPr>
        <w:t xml:space="preserve">. Notice requirements in some emirates are statutory and cannot be shortened by agreement.</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Rental disputes in some emirates go before a dedicated rental dispute centre rather than the general courts.</w:t>
      </w:r>
    </w:p>
    <w:p>
      <w:pPr>
        <w:keepNext/>
        <w:spacing w:after="120" w:before="280"/>
        <w:outlineLvl w:val="0"/>
      </w:pPr>
      <w:r>
        <w:rPr>
          <w:rFonts w:ascii="Calibri" w:cs="Calibri" w:eastAsia="Calibri" w:hAnsi="Calibri"/>
          <w:b/>
          <w:bCs/>
          <w:color w:val="14161B"/>
          <w:sz w:val="22"/>
          <w:szCs w:val="22"/>
        </w:rPr>
        <w:t xml:space="preserve">7. TERMINATION AND EXIT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819"/>
        <w:gridCol w:w="2698"/>
        <w:gridCol w:w="1736"/>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Timing</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Notice given in accordance with the lease and any statutory requirement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the lease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Reinstatement requirements obtained in writing</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 months before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Reinstatement works completed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expiry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Joint inspection against the handover record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At expiry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Utilities settled and disconnected or transferred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At expiry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remaining post-dated cheques recovered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At expiry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Registration cancelled or updated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At expiry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New premises registered before the licence renewal</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renewal</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Security deposit returned less agreed deductions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w:t>
            </w:r>
            <w:r>
              <w:rPr>
                <w:rFonts w:ascii="Calibri" w:cs="Calibri" w:eastAsia="Calibri" w:hAnsi="Calibri"/>
                <w:b/>
                <w:bCs/>
                <w:sz w:val="17"/>
                <w:szCs w:val="17"/>
              </w:rPr>
              <w:t xml:space="preserve">[30]</w:t>
            </w:r>
            <w:r>
              <w:rPr>
                <w:rFonts w:ascii="Calibri" w:cs="Calibri" w:eastAsia="Calibri" w:hAnsi="Calibri"/>
                <w:sz w:val="17"/>
                <w:szCs w:val="17"/>
              </w:rPr>
              <w:t xml:space="preserve"> days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Trade licence address updated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Promptly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b/>
          <w:bCs/>
          <w:sz w:val="21"/>
          <w:szCs w:val="21"/>
        </w:rPr>
        <w:t xml:space="preserve">Recover unpresented cheques on exit.</w:t>
      </w:r>
      <w:r>
        <w:rPr>
          <w:rFonts w:ascii="Calibri" w:cs="Calibri" w:eastAsia="Calibri" w:hAnsi="Calibri"/>
          <w:sz w:val="21"/>
          <w:szCs w:val="21"/>
        </w:rPr>
        <w:t xml:space="preserve"> Post-dated cheques left with a landlord after the lease ends are a live liability. Retrieve them and obtain written confirmation that none remain outstanding.</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Registration is not administrative — the licence depends on it</w:t>
      </w:r>
    </w:p>
    <w:p>
      <w:pPr>
        <w:spacing w:after="60" w:line="264"/>
        <w:jc w:val="both"/>
      </w:pPr>
      <w:r>
        <w:rPr>
          <w:rFonts w:ascii="Calibri" w:cs="Calibri" w:eastAsia="Calibri" w:hAnsi="Calibri"/>
          <w:sz w:val="19"/>
          <w:szCs w:val="19"/>
        </w:rPr>
        <w:t xml:space="preserve">Ejari, Tawtheeq or the local equivalent is required for trade licence issuance and renewal, utility connections and visa quota. An unregistered lease blocks the licence renewal, which blocks visa renewals, which stops hiring. Treat it as a completion step.</w:t>
      </w:r>
    </w:p>
    <w:p>
      <w:pPr>
        <w:keepNext/>
        <w:spacing w:after="40" w:before="140"/>
      </w:pPr>
      <w:r>
        <w:rPr>
          <w:rFonts w:ascii="Calibri" w:cs="Calibri" w:eastAsia="Calibri" w:hAnsi="Calibri"/>
          <w:b/>
          <w:bCs/>
          <w:color w:val="14161B"/>
          <w:sz w:val="20"/>
          <w:szCs w:val="20"/>
        </w:rPr>
        <w:t xml:space="preserve">Match the permitted use to the licensed activity</w:t>
      </w:r>
    </w:p>
    <w:p>
      <w:pPr>
        <w:spacing w:after="60" w:line="264"/>
        <w:jc w:val="both"/>
      </w:pPr>
      <w:r>
        <w:rPr>
          <w:rFonts w:ascii="Calibri" w:cs="Calibri" w:eastAsia="Calibri" w:hAnsi="Calibri"/>
          <w:sz w:val="19"/>
          <w:szCs w:val="19"/>
        </w:rPr>
        <w:t xml:space="preserve">The use permitted under the lease, the approved use of the premises, and the activity on the trade licence must all correspond. A mismatch is discovered at licence renewal or at a municipality inspection, and it is expensive to fix from a signed lease.</w:t>
      </w:r>
    </w:p>
    <w:p>
      <w:pPr>
        <w:keepNext/>
        <w:spacing w:after="40" w:before="140"/>
      </w:pPr>
      <w:r>
        <w:rPr>
          <w:rFonts w:ascii="Calibri" w:cs="Calibri" w:eastAsia="Calibri" w:hAnsi="Calibri"/>
          <w:b/>
          <w:bCs/>
          <w:color w:val="14161B"/>
          <w:sz w:val="20"/>
          <w:szCs w:val="20"/>
        </w:rPr>
        <w:t xml:space="preserve">Space drives the visa quota</w:t>
      </w:r>
    </w:p>
    <w:p>
      <w:pPr>
        <w:spacing w:after="60" w:line="264"/>
        <w:jc w:val="both"/>
      </w:pPr>
      <w:r>
        <w:rPr>
          <w:rFonts w:ascii="Calibri" w:cs="Calibri" w:eastAsia="Calibri" w:hAnsi="Calibri"/>
          <w:sz w:val="19"/>
          <w:szCs w:val="19"/>
        </w:rPr>
        <w:t xml:space="preserve">Mainland visa quota is linked to the area and type of premises. A company that takes minimal space to control cost and then needs to hire finds the quota unavailable. Model headcount for the lease term before signing, not after.</w:t>
      </w:r>
    </w:p>
    <w:p>
      <w:pPr>
        <w:keepNext/>
        <w:spacing w:after="40" w:before="140"/>
      </w:pPr>
      <w:r>
        <w:rPr>
          <w:rFonts w:ascii="Calibri" w:cs="Calibri" w:eastAsia="Calibri" w:hAnsi="Calibri"/>
          <w:b/>
          <w:bCs/>
          <w:color w:val="14161B"/>
          <w:sz w:val="20"/>
          <w:szCs w:val="20"/>
        </w:rPr>
        <w:t xml:space="preserve">Post-dated cheques carry real consequences</w:t>
      </w:r>
    </w:p>
    <w:p>
      <w:pPr>
        <w:spacing w:after="60" w:line="264"/>
        <w:jc w:val="both"/>
      </w:pPr>
      <w:r>
        <w:rPr>
          <w:rFonts w:ascii="Calibri" w:cs="Calibri" w:eastAsia="Calibri" w:hAnsi="Calibri"/>
          <w:sz w:val="19"/>
          <w:szCs w:val="19"/>
        </w:rPr>
        <w:t xml:space="preserve">Paying rent by post-dated cheque is market convention. The treatment of dishonoured cheques was substantially reformed in 2022, with much of the enforcement now running through civil routes and the cheque capable of being treated as an instrument of execution. Confirm the current position rather than relying on either the old criminal assumption or a vague sense that it no longer matters — and never issue cheques you are not confident will clear.</w:t>
      </w:r>
    </w:p>
    <w:p>
      <w:pPr>
        <w:keepNext/>
        <w:spacing w:after="40" w:before="140"/>
      </w:pPr>
      <w:r>
        <w:rPr>
          <w:rFonts w:ascii="Calibri" w:cs="Calibri" w:eastAsia="Calibri" w:hAnsi="Calibri"/>
          <w:b/>
          <w:bCs/>
          <w:color w:val="14161B"/>
          <w:sz w:val="20"/>
          <w:szCs w:val="20"/>
        </w:rPr>
        <w:t xml:space="preserve">Recover your cheques when you leave</w:t>
      </w:r>
    </w:p>
    <w:p>
      <w:pPr>
        <w:spacing w:after="60" w:line="264"/>
        <w:jc w:val="both"/>
      </w:pPr>
      <w:r>
        <w:rPr>
          <w:rFonts w:ascii="Calibri" w:cs="Calibri" w:eastAsia="Calibri" w:hAnsi="Calibri"/>
          <w:sz w:val="19"/>
          <w:szCs w:val="19"/>
        </w:rPr>
        <w:t xml:space="preserve">Unpresented post-dated cheques left with a former landlord are a continuing liability. Retrieve every one at exit and get written confirmation that none remain outstanding. This is forgotten routinely and surfaces badly.</w:t>
      </w:r>
    </w:p>
    <w:p>
      <w:pPr>
        <w:keepNext/>
        <w:spacing w:after="40" w:before="140"/>
      </w:pPr>
      <w:r>
        <w:rPr>
          <w:rFonts w:ascii="Calibri" w:cs="Calibri" w:eastAsia="Calibri" w:hAnsi="Calibri"/>
          <w:b/>
          <w:bCs/>
          <w:color w:val="14161B"/>
          <w:sz w:val="20"/>
          <w:szCs w:val="20"/>
        </w:rPr>
        <w:t xml:space="preserve">Reinstatement is the unbudgeted cost</w:t>
      </w:r>
    </w:p>
    <w:p>
      <w:pPr>
        <w:spacing w:after="60" w:line="264"/>
        <w:jc w:val="both"/>
      </w:pPr>
      <w:r>
        <w:rPr>
          <w:rFonts w:ascii="Calibri" w:cs="Calibri" w:eastAsia="Calibri" w:hAnsi="Calibri"/>
          <w:sz w:val="19"/>
          <w:szCs w:val="19"/>
        </w:rPr>
        <w:t xml:space="preserve">Stripping out a fit-out and restoring the premises can run to a substantial sum that tenants have not provided for across a three-year term. Photograph the premises at handover, agree the record with the landlord, and price the reinstatement before signing.</w:t>
      </w:r>
    </w:p>
    <w:p>
      <w:pPr>
        <w:keepNext/>
        <w:spacing w:after="40" w:before="140"/>
      </w:pPr>
      <w:r>
        <w:rPr>
          <w:rFonts w:ascii="Calibri" w:cs="Calibri" w:eastAsia="Calibri" w:hAnsi="Calibri"/>
          <w:b/>
          <w:bCs/>
          <w:color w:val="14161B"/>
          <w:sz w:val="20"/>
          <w:szCs w:val="20"/>
        </w:rPr>
        <w:t xml:space="preserve">Ask for the reinstatement requirements in writing early</w:t>
      </w:r>
    </w:p>
    <w:p>
      <w:pPr>
        <w:spacing w:after="60" w:line="264"/>
        <w:jc w:val="both"/>
      </w:pPr>
      <w:r>
        <w:rPr>
          <w:rFonts w:ascii="Calibri" w:cs="Calibri" w:eastAsia="Calibri" w:hAnsi="Calibri"/>
          <w:sz w:val="19"/>
          <w:szCs w:val="19"/>
        </w:rPr>
        <w:t xml:space="preserve">Two months before expiry, ask the landlord to state in writing what they require. Verbal assurances that the fit-out can stay have a way of evaporating at handover, and by then there is no time to negotiate.</w:t>
      </w:r>
    </w:p>
    <w:p>
      <w:pPr>
        <w:keepNext/>
        <w:spacing w:after="40" w:before="140"/>
      </w:pPr>
      <w:r>
        <w:rPr>
          <w:rFonts w:ascii="Calibri" w:cs="Calibri" w:eastAsia="Calibri" w:hAnsi="Calibri"/>
          <w:b/>
          <w:bCs/>
          <w:color w:val="14161B"/>
          <w:sz w:val="20"/>
          <w:szCs w:val="20"/>
        </w:rPr>
        <w:t xml:space="preserve">Service charges and chiller costs are the hidden extras</w:t>
      </w:r>
    </w:p>
    <w:p>
      <w:pPr>
        <w:spacing w:after="60" w:line="264"/>
        <w:jc w:val="both"/>
      </w:pPr>
      <w:r>
        <w:rPr>
          <w:rFonts w:ascii="Calibri" w:cs="Calibri" w:eastAsia="Calibri" w:hAnsi="Calibri"/>
          <w:sz w:val="19"/>
          <w:szCs w:val="19"/>
        </w:rPr>
        <w:t xml:space="preserve">Rent is rarely the whole occupancy cost. Service charges, chilled water or air conditioning charges, utilities, insurance and parking can add materially. Model total occupancy cost, not headline rent.</w:t>
      </w:r>
    </w:p>
    <w:p>
      <w:pPr>
        <w:keepNext/>
        <w:spacing w:after="40" w:before="140"/>
      </w:pPr>
      <w:r>
        <w:rPr>
          <w:rFonts w:ascii="Calibri" w:cs="Calibri" w:eastAsia="Calibri" w:hAnsi="Calibri"/>
          <w:b/>
          <w:bCs/>
          <w:color w:val="14161B"/>
          <w:sz w:val="20"/>
          <w:szCs w:val="20"/>
        </w:rPr>
        <w:t xml:space="preserve">Verify the landlord’s title</w:t>
      </w:r>
    </w:p>
    <w:p>
      <w:pPr>
        <w:spacing w:after="60" w:line="264"/>
        <w:jc w:val="both"/>
      </w:pPr>
      <w:r>
        <w:rPr>
          <w:rFonts w:ascii="Calibri" w:cs="Calibri" w:eastAsia="Calibri" w:hAnsi="Calibri"/>
          <w:sz w:val="19"/>
          <w:szCs w:val="19"/>
        </w:rPr>
        <w:t xml:space="preserve">Confirm the person leasing to you owns the property or is authorised to lease it. Taking a lease from a head tenant whose own lease prohibits subletting, or expires first, leaves you without security and without the registration the licence needs.</w:t>
      </w:r>
    </w:p>
    <w:p>
      <w:pPr>
        <w:keepNext/>
        <w:spacing w:after="40" w:before="140"/>
      </w:pPr>
      <w:r>
        <w:rPr>
          <w:rFonts w:ascii="Calibri" w:cs="Calibri" w:eastAsia="Calibri" w:hAnsi="Calibri"/>
          <w:b/>
          <w:bCs/>
          <w:color w:val="14161B"/>
          <w:sz w:val="20"/>
          <w:szCs w:val="20"/>
        </w:rPr>
        <w:t xml:space="preserve">Rent increases may be capped</w:t>
      </w:r>
    </w:p>
    <w:p>
      <w:pPr>
        <w:spacing w:after="60" w:line="264"/>
        <w:jc w:val="both"/>
      </w:pPr>
      <w:r>
        <w:rPr>
          <w:rFonts w:ascii="Calibri" w:cs="Calibri" w:eastAsia="Calibri" w:hAnsi="Calibri"/>
          <w:sz w:val="19"/>
          <w:szCs w:val="19"/>
        </w:rPr>
        <w:t xml:space="preserve">Some emirates operate rent index frameworks limiting increases on renewal, and notice requirements for changing terms can be statutory rather than contractual. Check the position for the specific emirate before agreeing a review mechanism.</w:t>
      </w:r>
    </w:p>
    <w:p>
      <w:pPr>
        <w:keepNext/>
        <w:spacing w:after="40" w:before="140"/>
      </w:pPr>
      <w:r>
        <w:rPr>
          <w:rFonts w:ascii="Calibri" w:cs="Calibri" w:eastAsia="Calibri" w:hAnsi="Calibri"/>
          <w:b/>
          <w:bCs/>
          <w:color w:val="14161B"/>
          <w:sz w:val="20"/>
          <w:szCs w:val="20"/>
        </w:rPr>
        <w:t xml:space="preserve">Rental disputes have their own forum</w:t>
      </w:r>
    </w:p>
    <w:p>
      <w:pPr>
        <w:spacing w:after="60" w:line="264"/>
        <w:jc w:val="both"/>
      </w:pPr>
      <w:r>
        <w:rPr>
          <w:rFonts w:ascii="Calibri" w:cs="Calibri" w:eastAsia="Calibri" w:hAnsi="Calibri"/>
          <w:sz w:val="19"/>
          <w:szCs w:val="19"/>
        </w:rPr>
        <w:t xml:space="preserve">Several emirates route rental disputes through a dedicated rental dispute centre rather than the general courts, with its own procedure and timelines. Know which applies before a dispute arises.</w:t>
      </w:r>
    </w:p>
    <w:p>
      <w:pPr>
        <w:keepNext/>
        <w:spacing w:after="40" w:before="140"/>
      </w:pPr>
      <w:r>
        <w:rPr>
          <w:rFonts w:ascii="Calibri" w:cs="Calibri" w:eastAsia="Calibri" w:hAnsi="Calibri"/>
          <w:b/>
          <w:bCs/>
          <w:color w:val="14161B"/>
          <w:sz w:val="20"/>
          <w:szCs w:val="20"/>
        </w:rPr>
        <w:t xml:space="preserve">VAT applies to commercial rent</w:t>
      </w:r>
    </w:p>
    <w:p>
      <w:pPr>
        <w:spacing w:after="60" w:line="264"/>
        <w:jc w:val="both"/>
      </w:pPr>
      <w:r>
        <w:rPr>
          <w:rFonts w:ascii="Calibri" w:cs="Calibri" w:eastAsia="Calibri" w:hAnsi="Calibri"/>
          <w:sz w:val="19"/>
          <w:szCs w:val="19"/>
        </w:rPr>
        <w:t xml:space="preserve">Commercial leases attract 5% VAT where the landlord is registered, and the tenant needs a valid tax invoice to recover input tax. Confirm the treatment and the invoicing arrangement at signing rather than at the first payment.</w:t>
      </w:r>
    </w:p>
    <w:p>
      <w:pPr>
        <w:keepNext/>
        <w:spacing w:after="40" w:before="140"/>
      </w:pPr>
      <w:r>
        <w:rPr>
          <w:rFonts w:ascii="Calibri" w:cs="Calibri" w:eastAsia="Calibri" w:hAnsi="Calibri"/>
          <w:b/>
          <w:bCs/>
          <w:color w:val="14161B"/>
          <w:sz w:val="20"/>
          <w:szCs w:val="20"/>
        </w:rPr>
        <w:t xml:space="preserve">Sequence the move properly</w:t>
      </w:r>
    </w:p>
    <w:p>
      <w:pPr>
        <w:spacing w:after="60" w:line="264"/>
        <w:jc w:val="both"/>
      </w:pPr>
      <w:r>
        <w:rPr>
          <w:rFonts w:ascii="Calibri" w:cs="Calibri" w:eastAsia="Calibri" w:hAnsi="Calibri"/>
          <w:sz w:val="19"/>
          <w:szCs w:val="19"/>
        </w:rPr>
        <w:t xml:space="preserve">New premises must be leased and registered before the licence can be updated, and the licence must be current for visa renewals. A gap between leases can cascade into a licensing problem. Overlap the leases if necessary.</w:t>
      </w:r>
    </w:p>
    <w:p>
      <w:pPr>
        <w:keepNext/>
        <w:spacing w:after="40" w:before="140"/>
      </w:pPr>
      <w:r>
        <w:rPr>
          <w:rFonts w:ascii="Calibri" w:cs="Calibri" w:eastAsia="Calibri" w:hAnsi="Calibri"/>
          <w:b/>
          <w:bCs/>
          <w:color w:val="14161B"/>
          <w:sz w:val="20"/>
          <w:szCs w:val="20"/>
        </w:rPr>
        <w:t xml:space="preserve">Get consent to assign in writing</w:t>
      </w:r>
    </w:p>
    <w:p>
      <w:pPr>
        <w:spacing w:after="60" w:line="264"/>
        <w:jc w:val="both"/>
      </w:pPr>
      <w:r>
        <w:rPr>
          <w:rFonts w:ascii="Calibri" w:cs="Calibri" w:eastAsia="Calibri" w:hAnsi="Calibri"/>
          <w:sz w:val="19"/>
          <w:szCs w:val="19"/>
        </w:rPr>
        <w:t xml:space="preserve">An absolute prohibition on assignment or subletting leaves the tenant with the lease whatever happens to the business. A qualified covenant, with consent not to be unreasonably withheld, is the normal compromise and is worth asking for.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Registration systems, rent frameworks, notice requirements, dispute forums and the treatment of dishonoured cheques differ by emirate and change — confirm the position for the relevant emirate and take legal advice before signing a material lease.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2026-08-23T16:28:34.026Z</dcterms:created>
  <dcterms:modified xsi:type="dcterms:W3CDTF">2026-08-23T16:28:34.026Z</dcterms:modified>
</cp:coreProperties>
</file>

<file path=docProps/custom.xml><?xml version="1.0" encoding="utf-8"?>
<Properties xmlns="http://schemas.openxmlformats.org/officeDocument/2006/custom-properties" xmlns:vt="http://schemas.openxmlformats.org/officeDocument/2006/docPropsVTypes"/>
</file>