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COMMERCIAL AGENCY AND DISTRIBUTION</w:t>
      </w:r>
    </w:p>
    <w:p>
      <w:pPr>
        <w:spacing w:after="260"/>
        <w:jc w:val="center"/>
      </w:pPr>
      <w:r>
        <w:rPr>
          <w:rFonts w:ascii="Calibri" w:cs="Calibri" w:eastAsia="Calibri" w:hAnsi="Calibri"/>
          <w:i/>
          <w:iCs/>
          <w:color w:val="6E7480"/>
          <w:sz w:val="19"/>
          <w:szCs w:val="19"/>
        </w:rPr>
        <w:t xml:space="preserve">Appointing a UAE agent or distributor</w:t>
      </w:r>
    </w:p>
    <w:p>
      <w:pPr>
        <w:spacing w:after="180" w:before="0" w:line="276"/>
        <w:jc w:val="both"/>
      </w:pPr>
      <w:r>
        <w:rPr>
          <w:rFonts w:ascii="Calibri" w:cs="Calibri" w:eastAsia="Calibri" w:hAnsi="Calibri"/>
          <w:i/>
          <w:iCs/>
          <w:color w:val="6E7480"/>
          <w:sz w:val="21"/>
          <w:szCs w:val="21"/>
        </w:rPr>
        <w:t xml:space="preserve">This is the area where a foreign principal most often creates a problem it cannot undo. A </w:t>
      </w:r>
      <w:r>
        <w:rPr>
          <w:rFonts w:ascii="Calibri" w:cs="Calibri" w:eastAsia="Calibri" w:hAnsi="Calibri"/>
          <w:b/>
          <w:bCs/>
          <w:i/>
          <w:iCs/>
          <w:color w:val="6E7480"/>
          <w:sz w:val="21"/>
          <w:szCs w:val="21"/>
        </w:rPr>
        <w:t xml:space="preserve">registered commercial agency</w:t>
      </w:r>
      <w:r>
        <w:rPr>
          <w:rFonts w:ascii="Calibri" w:cs="Calibri" w:eastAsia="Calibri" w:hAnsi="Calibri"/>
          <w:i/>
          <w:iCs/>
          <w:color w:val="6E7480"/>
          <w:sz w:val="21"/>
          <w:szCs w:val="21"/>
        </w:rPr>
        <w:t xml:space="preserve"> under Federal Law 3 of 2022 gives the agent statutory protections — on termination, renewal and compensation — that the contract cannot simply displace. Decide deliberately whether you are creating one.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Principal</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incorporated in </w:t>
            </w:r>
            <w:r>
              <w:rPr>
                <w:rFonts w:ascii="Calibri" w:cs="Calibri" w:eastAsia="Calibri" w:hAnsi="Calibri"/>
                <w:b/>
                <w:bCs/>
                <w:sz w:val="19"/>
                <w:szCs w:val="19"/>
              </w:rPr>
              <w:t xml:space="preserve">[COUNTRY]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Agent or distributor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Structure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[Registered commercial agency / Unregistered distribution]</w:t>
            </w:r>
            <w:r>
              <w:rPr>
                <w:rFonts w:ascii="Calibri" w:cs="Calibri" w:eastAsia="Calibri" w:hAnsi="Calibri"/>
                <w:sz w:val="19"/>
                <w:szCs w:val="19"/>
              </w:rPr>
              <w:t xml:space="preserve"> — </w:t>
            </w:r>
            <w:r>
              <w:rPr>
                <w:rFonts w:ascii="Calibri" w:cs="Calibri" w:eastAsia="Calibri" w:hAnsi="Calibri"/>
                <w:i/>
                <w:iCs/>
                <w:sz w:val="19"/>
                <w:szCs w:val="19"/>
              </w:rPr>
              <w:t xml:space="preserve">the central decision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Products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Territory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[Emirate(s) / whole UAE]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Exclusivity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[Exclusive / Sole / Non-exclusive]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Registered with the Ministry of Economy?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registration is what triggers the statutory regime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Agent ownership</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 eligibility — see Section 1]</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[UAE / Other — note the limits in Section 5]</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DECISION THAT MATTERS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3855"/>
        <w:gridCol w:w="3663"/>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Registered commercial agency</w:t>
            </w:r>
          </w:p>
        </w:tc>
        <w:tc>
          <w:tcPr>
            <w:tcW w:type="dxa" w:w="36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Unregistered distribution</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Governing regime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Federal Law 3/2022 on Commercial Agencies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General contract and commercial law</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Who may be the agent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UAE nationals or wholly UAE-owned companies</w:t>
            </w:r>
            <w:r>
              <w:rPr>
                <w:rFonts w:ascii="Calibri" w:cs="Calibri" w:eastAsia="Calibri" w:hAnsi="Calibri"/>
                <w:sz w:val="17"/>
                <w:szCs w:val="17"/>
              </w:rPr>
              <w:t xml:space="preserve">, with limited exceptions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licensed entity</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Registration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 the </w:t>
            </w:r>
            <w:r>
              <w:rPr>
                <w:rFonts w:ascii="Calibri" w:cs="Calibri" w:eastAsia="Calibri" w:hAnsi="Calibri"/>
                <w:b/>
                <w:bCs/>
                <w:sz w:val="17"/>
                <w:szCs w:val="17"/>
              </w:rPr>
              <w:t xml:space="preserve">Ministry of Economy</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Exclusivity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Registered agencies are exclusive for the registered territory</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agreed</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Termination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Statutory protections apply</w:t>
            </w:r>
            <w:r>
              <w:rPr>
                <w:rFonts w:ascii="Calibri" w:cs="Calibri" w:eastAsia="Calibri" w:hAnsi="Calibri"/>
                <w:sz w:val="17"/>
                <w:szCs w:val="17"/>
              </w:rPr>
              <w:t xml:space="preserve"> — grounds, notice and compensation</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agreed in the contract</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Non-renewal</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Protected — the agent may resist non-renewal</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agreed</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Compensation on termination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May be payable</w:t>
            </w:r>
            <w:r>
              <w:rPr>
                <w:rFonts w:ascii="Calibri" w:cs="Calibri" w:eastAsia="Calibri" w:hAnsi="Calibri"/>
                <w:sz w:val="17"/>
                <w:szCs w:val="17"/>
              </w:rPr>
              <w:t xml:space="preserve"> even where the contract says otherwise</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agreed</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Parallel imports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agent can generally block them</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statutory block</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Dispute forum</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Committee and UAE courts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agreed, subject to limits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Suits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long-term, invested local partner</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Most commercial arrangements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Risk to the principal</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Very difficult to exit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Ordinary contractual risk</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Registration is what triggers the regime. A foreign principal that registers an agency to satisfy a partner’s request, without appreciating the consequences, has given away the ability to change distributor at will — sometimes for decades.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Eligibility.</w:t>
      </w:r>
      <w:r>
        <w:rPr>
          <w:rFonts w:ascii="Calibri" w:cs="Calibri" w:eastAsia="Calibri" w:hAnsi="Calibri"/>
          <w:sz w:val="21"/>
          <w:szCs w:val="21"/>
        </w:rPr>
        <w:t xml:space="preserve"> A registered commercial agent must generally be a UAE national or a company wholly owned by UAE nationals. Limited exceptions exist, including for public joint stock companies meeting an ownership threshold and, by Cabinet decision, for international companies distributing their own products. </w:t>
      </w:r>
      <w:r>
        <w:rPr>
          <w:rFonts w:ascii="Calibri" w:cs="Calibri" w:eastAsia="Calibri" w:hAnsi="Calibri"/>
          <w:i/>
          <w:iCs/>
          <w:sz w:val="21"/>
          <w:szCs w:val="21"/>
        </w:rPr>
        <w:t xml:space="preserve">Confirm the current scope before assuming an exception applies.</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Transitional provisions govern when the termination and expiry rules under the 2022 law begin to apply to agencies already in force when it was issued, with longer periods for long-standing agencies and those involving substantial agent investment. </w:t>
      </w:r>
      <w:r>
        <w:rPr>
          <w:rFonts w:ascii="Calibri" w:cs="Calibri" w:eastAsia="Calibri" w:hAnsi="Calibri"/>
          <w:b/>
          <w:bCs/>
          <w:sz w:val="21"/>
          <w:szCs w:val="21"/>
        </w:rPr>
        <w:t xml:space="preserve">Take advice on which timetable applies to an existing arrangement.</w:t>
      </w:r>
    </w:p>
    <w:p>
      <w:pPr>
        <w:keepNext/>
        <w:spacing w:after="120" w:before="280"/>
        <w:outlineLvl w:val="0"/>
      </w:pPr>
      <w:r>
        <w:rPr>
          <w:rFonts w:ascii="Calibri" w:cs="Calibri" w:eastAsia="Calibri" w:hAnsi="Calibri"/>
          <w:b/>
          <w:bCs/>
          <w:color w:val="14161B"/>
          <w:sz w:val="22"/>
          <w:szCs w:val="22"/>
        </w:rPr>
        <w:t xml:space="preserve">2. IF YOU REGISTER AN AGENCY</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agency is registered with the Ministry of Economy, recording the parties, the products and the territory.</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registered agent has </w:t>
      </w:r>
      <w:r>
        <w:rPr>
          <w:rFonts w:ascii="Calibri" w:cs="Calibri" w:eastAsia="Calibri" w:hAnsi="Calibri"/>
          <w:b/>
          <w:bCs/>
          <w:sz w:val="21"/>
          <w:szCs w:val="21"/>
        </w:rPr>
        <w:t xml:space="preserve">exclusivity</w:t>
      </w:r>
      <w:r>
        <w:rPr>
          <w:rFonts w:ascii="Calibri" w:cs="Calibri" w:eastAsia="Calibri" w:hAnsi="Calibri"/>
          <w:sz w:val="21"/>
          <w:szCs w:val="21"/>
        </w:rPr>
        <w:t xml:space="preserve"> in the registered territory. The principal may not appoint another agent there, and may not supply the territory directly.</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agent is generally entitled to </w:t>
      </w:r>
      <w:r>
        <w:rPr>
          <w:rFonts w:ascii="Calibri" w:cs="Calibri" w:eastAsia="Calibri" w:hAnsi="Calibri"/>
          <w:b/>
          <w:bCs/>
          <w:sz w:val="21"/>
          <w:szCs w:val="21"/>
        </w:rPr>
        <w:t xml:space="preserve">commission on sales into the territory</w:t>
      </w:r>
      <w:r>
        <w:rPr>
          <w:rFonts w:ascii="Calibri" w:cs="Calibri" w:eastAsia="Calibri" w:hAnsi="Calibri"/>
          <w:sz w:val="21"/>
          <w:szCs w:val="21"/>
        </w:rPr>
        <w:t xml:space="preserve">, including sales the principal makes directly.</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agent may prevent the importation of the products by third parties — </w:t>
      </w:r>
      <w:r>
        <w:rPr>
          <w:rFonts w:ascii="Calibri" w:cs="Calibri" w:eastAsia="Calibri" w:hAnsi="Calibri"/>
          <w:b/>
          <w:bCs/>
          <w:sz w:val="21"/>
          <w:szCs w:val="21"/>
        </w:rPr>
        <w:t xml:space="preserve">blocking parallel imports</w:t>
      </w:r>
      <w:r>
        <w:rPr>
          <w:rFonts w:ascii="Calibri" w:cs="Calibri" w:eastAsia="Calibri" w:hAnsi="Calibri"/>
          <w:sz w:val="21"/>
          <w:szCs w:val="21"/>
        </w:rPr>
        <w:t xml:space="preserve"> — which is a substantial commercial power.</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b/>
          <w:bCs/>
          <w:sz w:val="21"/>
          <w:szCs w:val="21"/>
        </w:rPr>
        <w:t xml:space="preserve">Termination and non-renewal are constrained.</w:t>
      </w:r>
      <w:r>
        <w:rPr>
          <w:rFonts w:ascii="Calibri" w:cs="Calibri" w:eastAsia="Calibri" w:hAnsi="Calibri"/>
          <w:sz w:val="21"/>
          <w:szCs w:val="21"/>
        </w:rPr>
        <w:t xml:space="preserve"> Terminating without a ground the law recognises, or refusing renewal, can give rise to compensation. Provisions in the contract purporting to permit termination at will do not necessarily displace this.</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sz w:val="21"/>
          <w:szCs w:val="21"/>
        </w:rPr>
        <w:t xml:space="preserve">Disputes may go before a designated committee before the courts.</w:t>
      </w:r>
    </w:p>
    <w:p>
      <w:pPr>
        <w:keepNext/>
        <w:spacing w:after="120" w:before="280"/>
        <w:outlineLvl w:val="0"/>
      </w:pPr>
      <w:r>
        <w:rPr>
          <w:rFonts w:ascii="Calibri" w:cs="Calibri" w:eastAsia="Calibri" w:hAnsi="Calibri"/>
          <w:b/>
          <w:bCs/>
          <w:color w:val="14161B"/>
          <w:sz w:val="22"/>
          <w:szCs w:val="22"/>
        </w:rPr>
        <w:t xml:space="preserve">3. IF YOU DO NOT REGISTER</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An unregistered distribution arrangement is governed by the contract and general commercial law.</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distributor buys and resells on its own account. Termination, exclusivity, minimum purchases and territory are matters of agreement.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There is no statutory exclusivity and no statutory compensation on termination.</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i/>
          <w:iCs/>
          <w:sz w:val="21"/>
          <w:szCs w:val="21"/>
        </w:rPr>
        <w:t xml:space="preserve">This is the right structure for most foreign principals entering the market, and it is what the distribution agreement in this library is drafted for. It should be a conscious choice, documented, and understood on both sides — not an omission.</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BEFORE YOU APPOINT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397"/>
        <w:gridCol w:w="3856"/>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38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Answer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Are we creating a registered agency or an unregistered distribution?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Has the counterparty asked for registration, and do they understand why?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counterparty eligible to be a registered agent?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territory — one emirate or the whole UAE?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we want to retain the ability to sell directly?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we want to be able to change partner in three years?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r>
              <w:rPr>
                <w:rFonts w:ascii="Calibri" w:cs="Calibri" w:eastAsia="Calibri" w:hAnsi="Calibri"/>
                <w:sz w:val="17"/>
                <w:szCs w:val="17"/>
              </w:rPr>
              <w:t xml:space="preserve"> — </w:t>
            </w:r>
            <w:r>
              <w:rPr>
                <w:rFonts w:ascii="Calibri" w:cs="Calibri" w:eastAsia="Calibri" w:hAnsi="Calibri"/>
                <w:i/>
                <w:iCs/>
                <w:sz w:val="17"/>
                <w:szCs w:val="17"/>
              </w:rPr>
              <w:t xml:space="preserve">if yes, do not register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minimum purchase commitments agreed and measurable?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 registers the product with any sector regulator?</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r>
              <w:rPr>
                <w:rFonts w:ascii="Calibri" w:cs="Calibri" w:eastAsia="Calibri" w:hAnsi="Calibri"/>
                <w:sz w:val="17"/>
                <w:szCs w:val="17"/>
              </w:rPr>
              <w:t xml:space="preserve"> — </w:t>
            </w:r>
            <w:r>
              <w:rPr>
                <w:rFonts w:ascii="Calibri" w:cs="Calibri" w:eastAsia="Calibri" w:hAnsi="Calibri"/>
                <w:i/>
                <w:iCs/>
                <w:sz w:val="17"/>
                <w:szCs w:val="17"/>
              </w:rPr>
              <w:t xml:space="preserve">registrations held by the agent are leverage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 holds the trade mark registration in the UAE?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[Us / Them]</w:t>
            </w:r>
            <w:r>
              <w:rPr>
                <w:rFonts w:ascii="Calibri" w:cs="Calibri" w:eastAsia="Calibri" w:hAnsi="Calibri"/>
                <w:sz w:val="17"/>
                <w:szCs w:val="17"/>
              </w:rPr>
              <w:t xml:space="preserve"> — </w:t>
            </w:r>
            <w:r>
              <w:rPr>
                <w:rFonts w:ascii="Calibri" w:cs="Calibri" w:eastAsia="Calibri" w:hAnsi="Calibri"/>
                <w:i/>
                <w:iCs/>
                <w:sz w:val="17"/>
                <w:szCs w:val="17"/>
              </w:rPr>
              <w:t xml:space="preserve">must be us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happens to stock and registrations on termination?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Have we taken UAE legal advice on the structure?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5. GOVERNING LAW AND FORUM</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For a </w:t>
      </w:r>
      <w:r>
        <w:rPr>
          <w:rFonts w:ascii="Calibri" w:cs="Calibri" w:eastAsia="Calibri" w:hAnsi="Calibri"/>
          <w:b/>
          <w:bCs/>
          <w:sz w:val="21"/>
          <w:szCs w:val="21"/>
        </w:rPr>
        <w:t xml:space="preserve">registered agency</w:t>
      </w:r>
      <w:r>
        <w:rPr>
          <w:rFonts w:ascii="Calibri" w:cs="Calibri" w:eastAsia="Calibri" w:hAnsi="Calibri"/>
          <w:sz w:val="21"/>
          <w:szCs w:val="21"/>
        </w:rPr>
        <w:t xml:space="preserve">, a choice of foreign law or a foreign forum will not necessarily be effective. The statutory framework and the designated dispute route apply notwithstanding a contrary clause.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For an </w:t>
      </w:r>
      <w:r>
        <w:rPr>
          <w:rFonts w:ascii="Calibri" w:cs="Calibri" w:eastAsia="Calibri" w:hAnsi="Calibri"/>
          <w:b/>
          <w:bCs/>
          <w:sz w:val="21"/>
          <w:szCs w:val="21"/>
        </w:rPr>
        <w:t xml:space="preserve">unregistered distribution</w:t>
      </w:r>
      <w:r>
        <w:rPr>
          <w:rFonts w:ascii="Calibri" w:cs="Calibri" w:eastAsia="Calibri" w:hAnsi="Calibri"/>
          <w:sz w:val="21"/>
          <w:szCs w:val="21"/>
        </w:rPr>
        <w:t xml:space="preserve">, the parties have greater freedom, though enforcement in the UAE remains a practical consideration.</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i/>
          <w:iCs/>
          <w:sz w:val="21"/>
          <w:szCs w:val="21"/>
        </w:rPr>
        <w:t xml:space="preserve">Foreign principals frequently comfort themselves with an English law and London arbitration clause in a registered agency agreement. It may not protect them, and relying on it is how a difficult termination becomes an impossible one.</w:t>
      </w:r>
    </w:p>
    <w:p>
      <w:pPr>
        <w:keepNext/>
        <w:spacing w:after="120" w:before="280"/>
        <w:outlineLvl w:val="0"/>
      </w:pPr>
      <w:r>
        <w:rPr>
          <w:rFonts w:ascii="Calibri" w:cs="Calibri" w:eastAsia="Calibri" w:hAnsi="Calibri"/>
          <w:b/>
          <w:bCs/>
          <w:color w:val="14161B"/>
          <w:sz w:val="22"/>
          <w:szCs w:val="22"/>
        </w:rPr>
        <w:t xml:space="preserve">6. TERMINATION AND EXIT PLANNING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433"/>
        <w:gridCol w:w="4820"/>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48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Establish whether the agency is registered</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Determines everything that follows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Identify the ground for termination or non-renewal</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 a registered agency, the grounds are constrained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Take UAE legal advice </w:t>
            </w:r>
            <w:r>
              <w:rPr>
                <w:rFonts w:ascii="Calibri" w:cs="Calibri" w:eastAsia="Calibri" w:hAnsi="Calibri"/>
                <w:b/>
                <w:bCs/>
                <w:sz w:val="17"/>
                <w:szCs w:val="17"/>
              </w:rPr>
              <w:t xml:space="preserve">before</w:t>
            </w:r>
            <w:r>
              <w:rPr>
                <w:rFonts w:ascii="Calibri" w:cs="Calibri" w:eastAsia="Calibri" w:hAnsi="Calibri"/>
                <w:sz w:val="17"/>
                <w:szCs w:val="17"/>
              </w:rPr>
              <w:t xml:space="preserve"> giving notice</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defective notice can strengthen the agent’s position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Assess compensation exposure</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May arise despite contrary contract terms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Consider a negotiated exit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Frequently cheaper and faster than a contested 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Recover product registrations and licences held by the agent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These block a replacement if left behind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Deal with stock — repurchase, run-off or write-off</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Agree the basis in advance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Recover trade mark registrations wrongly held by the agent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Should never have been theirs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Deregister the agency where applicable</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Registration outlives the commercial relationship</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Appoint the replacement only once the position is clear</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Overlapping appointments create liability</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i/>
          <w:iCs/>
          <w:sz w:val="21"/>
          <w:szCs w:val="21"/>
        </w:rPr>
        <w:t xml:space="preserve">The most expensive mistake is appointing a replacement while the previous registered agency is unresolved. The outgoing agent may block imports, and the incoming one inherits a dispute.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Decide deliberately whether to register</w:t>
      </w:r>
    </w:p>
    <w:p>
      <w:pPr>
        <w:spacing w:after="60" w:line="264"/>
        <w:jc w:val="both"/>
      </w:pPr>
      <w:r>
        <w:rPr>
          <w:rFonts w:ascii="Calibri" w:cs="Calibri" w:eastAsia="Calibri" w:hAnsi="Calibri"/>
          <w:sz w:val="19"/>
          <w:szCs w:val="19"/>
        </w:rPr>
        <w:t xml:space="preserve">Registration with the Ministry of Economy is what brings the statutory regime into play — exclusivity, constrained termination, compensation and the power to block parallel imports. It is not an administrative formality, and a principal who registers to please a partner may have given away the ability to change distributor for a very long time.</w:t>
      </w:r>
    </w:p>
    <w:p>
      <w:pPr>
        <w:keepNext/>
        <w:spacing w:after="40" w:before="140"/>
      </w:pPr>
      <w:r>
        <w:rPr>
          <w:rFonts w:ascii="Calibri" w:cs="Calibri" w:eastAsia="Calibri" w:hAnsi="Calibri"/>
          <w:b/>
          <w:bCs/>
          <w:color w:val="14161B"/>
          <w:sz w:val="20"/>
          <w:szCs w:val="20"/>
        </w:rPr>
        <w:t xml:space="preserve">Only UAE nationals or wholly UAE-owned companies may generally be registered agents</w:t>
      </w:r>
    </w:p>
    <w:p>
      <w:pPr>
        <w:spacing w:after="60" w:line="264"/>
        <w:jc w:val="both"/>
      </w:pPr>
      <w:r>
        <w:rPr>
          <w:rFonts w:ascii="Calibri" w:cs="Calibri" w:eastAsia="Calibri" w:hAnsi="Calibri"/>
          <w:sz w:val="19"/>
          <w:szCs w:val="19"/>
        </w:rPr>
        <w:t xml:space="preserve">Limited exceptions exist, including for certain public joint stock companies and, by Cabinet decision, for international companies distributing their own products. Confirm the current scope rather than assuming an exception is available.</w:t>
      </w:r>
    </w:p>
    <w:p>
      <w:pPr>
        <w:keepNext/>
        <w:spacing w:after="40" w:before="140"/>
      </w:pPr>
      <w:r>
        <w:rPr>
          <w:rFonts w:ascii="Calibri" w:cs="Calibri" w:eastAsia="Calibri" w:hAnsi="Calibri"/>
          <w:b/>
          <w:bCs/>
          <w:color w:val="14161B"/>
          <w:sz w:val="20"/>
          <w:szCs w:val="20"/>
        </w:rPr>
        <w:t xml:space="preserve">A registered agency is very hard to exit</w:t>
      </w:r>
    </w:p>
    <w:p>
      <w:pPr>
        <w:spacing w:after="60" w:line="264"/>
        <w:jc w:val="both"/>
      </w:pPr>
      <w:r>
        <w:rPr>
          <w:rFonts w:ascii="Calibri" w:cs="Calibri" w:eastAsia="Calibri" w:hAnsi="Calibri"/>
          <w:sz w:val="19"/>
          <w:szCs w:val="19"/>
        </w:rPr>
        <w:t xml:space="preserve">Termination and non-renewal are constrained, compensation may be payable despite contrary contract terms, and the agent can obstruct the appointment of a replacement. Foreign principals consistently underestimate this and discover it only when the relationship has already failed.</w:t>
      </w:r>
    </w:p>
    <w:p>
      <w:pPr>
        <w:keepNext/>
        <w:spacing w:after="40" w:before="140"/>
      </w:pPr>
      <w:r>
        <w:rPr>
          <w:rFonts w:ascii="Calibri" w:cs="Calibri" w:eastAsia="Calibri" w:hAnsi="Calibri"/>
          <w:b/>
          <w:bCs/>
          <w:color w:val="14161B"/>
          <w:sz w:val="20"/>
          <w:szCs w:val="20"/>
        </w:rPr>
        <w:t xml:space="preserve">Foreign law clauses may not protect you</w:t>
      </w:r>
    </w:p>
    <w:p>
      <w:pPr>
        <w:spacing w:after="60" w:line="264"/>
        <w:jc w:val="both"/>
      </w:pPr>
      <w:r>
        <w:rPr>
          <w:rFonts w:ascii="Calibri" w:cs="Calibri" w:eastAsia="Calibri" w:hAnsi="Calibri"/>
          <w:sz w:val="19"/>
          <w:szCs w:val="19"/>
        </w:rPr>
        <w:t xml:space="preserve">For a registered agency, a choice of English law and offshore arbitration will not necessarily displace the statutory framework or the designated dispute route. Comfort drawn from a familiar governing law clause is frequently misplaced.</w:t>
      </w:r>
    </w:p>
    <w:p>
      <w:pPr>
        <w:keepNext/>
        <w:spacing w:after="40" w:before="140"/>
      </w:pPr>
      <w:r>
        <w:rPr>
          <w:rFonts w:ascii="Calibri" w:cs="Calibri" w:eastAsia="Calibri" w:hAnsi="Calibri"/>
          <w:b/>
          <w:bCs/>
          <w:color w:val="14161B"/>
          <w:sz w:val="20"/>
          <w:szCs w:val="20"/>
        </w:rPr>
        <w:t xml:space="preserve">Unregistered distribution is the right answer for most entrants</w:t>
      </w:r>
    </w:p>
    <w:p>
      <w:pPr>
        <w:spacing w:after="60" w:line="264"/>
        <w:jc w:val="both"/>
      </w:pPr>
      <w:r>
        <w:rPr>
          <w:rFonts w:ascii="Calibri" w:cs="Calibri" w:eastAsia="Calibri" w:hAnsi="Calibri"/>
          <w:sz w:val="19"/>
          <w:szCs w:val="19"/>
        </w:rPr>
        <w:t xml:space="preserve">A distributor buying and reselling under an ordinary commercial contract gives both sides a workable relationship with a known exit. Choose it consciously, document it, and make sure the counterparty understands it is not a registered agency.</w:t>
      </w:r>
    </w:p>
    <w:p>
      <w:pPr>
        <w:keepNext/>
        <w:spacing w:after="40" w:before="140"/>
      </w:pPr>
      <w:r>
        <w:rPr>
          <w:rFonts w:ascii="Calibri" w:cs="Calibri" w:eastAsia="Calibri" w:hAnsi="Calibri"/>
          <w:b/>
          <w:bCs/>
          <w:color w:val="14161B"/>
          <w:sz w:val="20"/>
          <w:szCs w:val="20"/>
        </w:rPr>
        <w:t xml:space="preserve">Registered agents can block parallel imports</w:t>
      </w:r>
    </w:p>
    <w:p>
      <w:pPr>
        <w:spacing w:after="60" w:line="264"/>
        <w:jc w:val="both"/>
      </w:pPr>
      <w:r>
        <w:rPr>
          <w:rFonts w:ascii="Calibri" w:cs="Calibri" w:eastAsia="Calibri" w:hAnsi="Calibri"/>
          <w:sz w:val="19"/>
          <w:szCs w:val="19"/>
        </w:rPr>
        <w:t xml:space="preserve">This is a substantial commercial power and it cuts both ways — valuable protection for a committed agent, and a serious obstacle for a principal trying to supply the market another way. Understand it before agreeing to registration.</w:t>
      </w:r>
    </w:p>
    <w:p>
      <w:pPr>
        <w:keepNext/>
        <w:spacing w:after="40" w:before="140"/>
      </w:pPr>
      <w:r>
        <w:rPr>
          <w:rFonts w:ascii="Calibri" w:cs="Calibri" w:eastAsia="Calibri" w:hAnsi="Calibri"/>
          <w:b/>
          <w:bCs/>
          <w:color w:val="14161B"/>
          <w:sz w:val="20"/>
          <w:szCs w:val="20"/>
        </w:rPr>
        <w:t xml:space="preserve">Commission may be due on your own direct sales</w:t>
      </w:r>
    </w:p>
    <w:p>
      <w:pPr>
        <w:spacing w:after="60" w:line="264"/>
        <w:jc w:val="both"/>
      </w:pPr>
      <w:r>
        <w:rPr>
          <w:rFonts w:ascii="Calibri" w:cs="Calibri" w:eastAsia="Calibri" w:hAnsi="Calibri"/>
          <w:sz w:val="19"/>
          <w:szCs w:val="19"/>
        </w:rPr>
        <w:t xml:space="preserve">A registered agent is generally entitled to commission on sales into the registered territory, including sales the principal makes directly. A principal that expects to keep key accounts should not be registering an agency covering them.</w:t>
      </w:r>
    </w:p>
    <w:p>
      <w:pPr>
        <w:keepNext/>
        <w:spacing w:after="40" w:before="140"/>
      </w:pPr>
      <w:r>
        <w:rPr>
          <w:rFonts w:ascii="Calibri" w:cs="Calibri" w:eastAsia="Calibri" w:hAnsi="Calibri"/>
          <w:b/>
          <w:bCs/>
          <w:color w:val="14161B"/>
          <w:sz w:val="20"/>
          <w:szCs w:val="20"/>
        </w:rPr>
        <w:t xml:space="preserve">Hold your own trade marks in the UAE</w:t>
      </w:r>
    </w:p>
    <w:p>
      <w:pPr>
        <w:spacing w:after="60" w:line="264"/>
        <w:jc w:val="both"/>
      </w:pPr>
      <w:r>
        <w:rPr>
          <w:rFonts w:ascii="Calibri" w:cs="Calibri" w:eastAsia="Calibri" w:hAnsi="Calibri"/>
          <w:sz w:val="19"/>
          <w:szCs w:val="19"/>
        </w:rPr>
        <w:t xml:space="preserve">Never allow the agent or distributor to register your marks locally. A distributor holding the local registration has decisive leverage at renewal and can obstruct a successor after termination. Register in the principal’s name before appointing anyone.</w:t>
      </w:r>
    </w:p>
    <w:p>
      <w:pPr>
        <w:keepNext/>
        <w:spacing w:after="40" w:before="140"/>
      </w:pPr>
      <w:r>
        <w:rPr>
          <w:rFonts w:ascii="Calibri" w:cs="Calibri" w:eastAsia="Calibri" w:hAnsi="Calibri"/>
          <w:b/>
          <w:bCs/>
          <w:color w:val="14161B"/>
          <w:sz w:val="20"/>
          <w:szCs w:val="20"/>
        </w:rPr>
        <w:t xml:space="preserve">Watch who holds the product registrations</w:t>
      </w:r>
    </w:p>
    <w:p>
      <w:pPr>
        <w:spacing w:after="60" w:line="264"/>
        <w:jc w:val="both"/>
      </w:pPr>
      <w:r>
        <w:rPr>
          <w:rFonts w:ascii="Calibri" w:cs="Calibri" w:eastAsia="Calibri" w:hAnsi="Calibri"/>
          <w:sz w:val="19"/>
          <w:szCs w:val="19"/>
        </w:rPr>
        <w:t xml:space="preserve">Where products require regulatory registration or approval, registrations held in the agent’s name become leverage on termination and can delay a replacement by months. Hold them in the principal’s name from the outset where the regime permits.</w:t>
      </w:r>
    </w:p>
    <w:p>
      <w:pPr>
        <w:keepNext/>
        <w:spacing w:after="40" w:before="140"/>
      </w:pPr>
      <w:r>
        <w:rPr>
          <w:rFonts w:ascii="Calibri" w:cs="Calibri" w:eastAsia="Calibri" w:hAnsi="Calibri"/>
          <w:b/>
          <w:bCs/>
          <w:color w:val="14161B"/>
          <w:sz w:val="20"/>
          <w:szCs w:val="20"/>
        </w:rPr>
        <w:t xml:space="preserve">Check the transitional timetable for existing agencies</w:t>
      </w:r>
    </w:p>
    <w:p>
      <w:pPr>
        <w:spacing w:after="60" w:line="264"/>
        <w:jc w:val="both"/>
      </w:pPr>
      <w:r>
        <w:rPr>
          <w:rFonts w:ascii="Calibri" w:cs="Calibri" w:eastAsia="Calibri" w:hAnsi="Calibri"/>
          <w:sz w:val="19"/>
          <w:szCs w:val="19"/>
        </w:rPr>
        <w:t xml:space="preserve">The 2022 law introduced transitional arrangements governing when its termination and expiry provisions begin to apply to agencies already in force, with longer periods for long-standing relationships and those involving substantial agent investment. Which timetable applies materially affects an exit plan.</w:t>
      </w:r>
    </w:p>
    <w:p>
      <w:pPr>
        <w:keepNext/>
        <w:spacing w:after="40" w:before="140"/>
      </w:pPr>
      <w:r>
        <w:rPr>
          <w:rFonts w:ascii="Calibri" w:cs="Calibri" w:eastAsia="Calibri" w:hAnsi="Calibri"/>
          <w:b/>
          <w:bCs/>
          <w:color w:val="14161B"/>
          <w:sz w:val="20"/>
          <w:szCs w:val="20"/>
        </w:rPr>
        <w:t xml:space="preserve">Take advice before giving notice, not after</w:t>
      </w:r>
    </w:p>
    <w:p>
      <w:pPr>
        <w:spacing w:after="60" w:line="264"/>
        <w:jc w:val="both"/>
      </w:pPr>
      <w:r>
        <w:rPr>
          <w:rFonts w:ascii="Calibri" w:cs="Calibri" w:eastAsia="Calibri" w:hAnsi="Calibri"/>
          <w:sz w:val="19"/>
          <w:szCs w:val="19"/>
        </w:rPr>
        <w:t xml:space="preserve">A defective termination notice in a registered agency can strengthen the agent’s position and increase the compensation exposure. This is one of the few areas where the cost of advice is trivially small against the cost of getting it wrong.</w:t>
      </w:r>
    </w:p>
    <w:p>
      <w:pPr>
        <w:keepNext/>
        <w:spacing w:after="40" w:before="140"/>
      </w:pPr>
      <w:r>
        <w:rPr>
          <w:rFonts w:ascii="Calibri" w:cs="Calibri" w:eastAsia="Calibri" w:hAnsi="Calibri"/>
          <w:b/>
          <w:bCs/>
          <w:color w:val="14161B"/>
          <w:sz w:val="20"/>
          <w:szCs w:val="20"/>
        </w:rPr>
        <w:t xml:space="preserve">Negotiated exits are usually cheaper</w:t>
      </w:r>
    </w:p>
    <w:p>
      <w:pPr>
        <w:spacing w:after="60" w:line="264"/>
        <w:jc w:val="both"/>
      </w:pPr>
      <w:r>
        <w:rPr>
          <w:rFonts w:ascii="Calibri" w:cs="Calibri" w:eastAsia="Calibri" w:hAnsi="Calibri"/>
          <w:sz w:val="19"/>
          <w:szCs w:val="19"/>
        </w:rPr>
        <w:t xml:space="preserve">Contested terminations of registered agencies are slow and expensive, and the agent can obstruct the market in the meantime. A commercial settlement, however unwelcome, is frequently the better outcome.</w:t>
      </w:r>
    </w:p>
    <w:p>
      <w:pPr>
        <w:keepNext/>
        <w:spacing w:after="40" w:before="140"/>
      </w:pPr>
      <w:r>
        <w:rPr>
          <w:rFonts w:ascii="Calibri" w:cs="Calibri" w:eastAsia="Calibri" w:hAnsi="Calibri"/>
          <w:b/>
          <w:bCs/>
          <w:color w:val="14161B"/>
          <w:sz w:val="20"/>
          <w:szCs w:val="20"/>
        </w:rPr>
        <w:t xml:space="preserve">Deregister when the relationship ends</w:t>
      </w:r>
    </w:p>
    <w:p>
      <w:pPr>
        <w:spacing w:after="60" w:line="264"/>
        <w:jc w:val="both"/>
      </w:pPr>
      <w:r>
        <w:rPr>
          <w:rFonts w:ascii="Calibri" w:cs="Calibri" w:eastAsia="Calibri" w:hAnsi="Calibri"/>
          <w:sz w:val="19"/>
          <w:szCs w:val="19"/>
        </w:rPr>
        <w:t xml:space="preserve">A registration that outlives the commercial arrangement continues to obstruct. Deregistration is a step in the exit plan, not an afterthought.</w:t>
      </w:r>
    </w:p>
    <w:p>
      <w:pPr>
        <w:keepNext/>
        <w:spacing w:after="40" w:before="140"/>
      </w:pPr>
      <w:r>
        <w:rPr>
          <w:rFonts w:ascii="Calibri" w:cs="Calibri" w:eastAsia="Calibri" w:hAnsi="Calibri"/>
          <w:b/>
          <w:bCs/>
          <w:color w:val="14161B"/>
          <w:sz w:val="20"/>
          <w:szCs w:val="20"/>
        </w:rPr>
        <w:t xml:space="preserve">Do not appoint a successor while the position is unresolved</w:t>
      </w:r>
    </w:p>
    <w:p>
      <w:pPr>
        <w:spacing w:after="60" w:line="264"/>
        <w:jc w:val="both"/>
      </w:pPr>
      <w:r>
        <w:rPr>
          <w:rFonts w:ascii="Calibri" w:cs="Calibri" w:eastAsia="Calibri" w:hAnsi="Calibri"/>
          <w:sz w:val="19"/>
          <w:szCs w:val="19"/>
        </w:rPr>
        <w:t xml:space="preserve">Overlapping appointments create liability to both parties and can leave the incoming distributor unable to import. Resolve the outgoing arrangement first.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Federal Law 3 of 2022 on Regulating Commercial Agencies replaced the previous statute, and its scope, eligibility exceptions, transitional timetable and dispute procedures continue to develop — take UAE legal advice before registering, terminating or restructuring any agency arrangement.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2026-08-23T16:28:33.957Z</dcterms:created>
  <dcterms:modified xsi:type="dcterms:W3CDTF">2026-08-23T16:28:33.957Z</dcterms:modified>
</cp:coreProperties>
</file>

<file path=docProps/custom.xml><?xml version="1.0" encoding="utf-8"?>
<Properties xmlns="http://schemas.openxmlformats.org/officeDocument/2006/custom-properties" xmlns:vt="http://schemas.openxmlformats.org/officeDocument/2006/docPropsVTypes"/>
</file>