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CLOSING A COMPANY</w:t>
      </w:r>
    </w:p>
    <w:p>
      <w:pPr>
        <w:spacing w:after="260"/>
        <w:jc w:val="center"/>
      </w:pPr>
      <w:r>
        <w:rPr>
          <w:rFonts w:ascii="Calibri" w:cs="Calibri" w:eastAsia="Calibri" w:hAnsi="Calibri"/>
          <w:i/>
          <w:iCs/>
          <w:color w:val="6E7480"/>
          <w:sz w:val="19"/>
          <w:szCs w:val="19"/>
        </w:rPr>
        <w:t xml:space="preserve">Liquidation, deregistration and cancellation</w:t>
      </w:r>
    </w:p>
    <w:p>
      <w:pPr>
        <w:spacing w:after="180" w:before="0" w:line="276"/>
        <w:jc w:val="both"/>
      </w:pPr>
      <w:r>
        <w:rPr>
          <w:rFonts w:ascii="Calibri" w:cs="Calibri" w:eastAsia="Calibri" w:hAnsi="Calibri"/>
          <w:i/>
          <w:iCs/>
          <w:color w:val="6E7480"/>
          <w:sz w:val="21"/>
          <w:szCs w:val="21"/>
        </w:rPr>
        <w:t xml:space="preserve">The most expensive way to close a UAE company is to stop paying attention. </w:t>
      </w:r>
      <w:r>
        <w:rPr>
          <w:rFonts w:ascii="Calibri" w:cs="Calibri" w:eastAsia="Calibri" w:hAnsi="Calibri"/>
          <w:b/>
          <w:bCs/>
          <w:i/>
          <w:iCs/>
          <w:color w:val="6E7480"/>
          <w:sz w:val="21"/>
          <w:szCs w:val="21"/>
        </w:rPr>
        <w:t xml:space="preserve">Letting a licence lapse does not dissolve the entity</w:t>
      </w:r>
      <w:r>
        <w:rPr>
          <w:rFonts w:ascii="Calibri" w:cs="Calibri" w:eastAsia="Calibri" w:hAnsi="Calibri"/>
          <w:i/>
          <w:iCs/>
          <w:color w:val="6E7480"/>
          <w:sz w:val="21"/>
          <w:szCs w:val="21"/>
        </w:rPr>
        <w:t xml:space="preserve"> — fines accrue, employees are left with invalid visas, managers can be personally pursued, and the outstanding record follows the owners into any future application. Closing properly costs less than abandoning.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closure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[Ceased trading / restructuring / relocation / dispute]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 to release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settlement cost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 due within 14 days of each last working day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Outstanding liabilities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Corporate tax registered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[TRN]</w:t>
            </w:r>
            <w:r>
              <w:rPr>
                <w:rFonts w:ascii="Calibri" w:cs="Calibri" w:eastAsia="Calibri" w:hAnsi="Calibri"/>
                <w:sz w:val="19"/>
                <w:szCs w:val="19"/>
              </w:rPr>
              <w:t xml:space="preserve"> — </w:t>
            </w:r>
            <w:r>
              <w:rPr>
                <w:rFonts w:ascii="Calibri" w:cs="Calibri" w:eastAsia="Calibri" w:hAnsi="Calibri"/>
                <w:b/>
                <w:bCs/>
                <w:sz w:val="19"/>
                <w:szCs w:val="19"/>
              </w:rPr>
              <w:t xml:space="preserve">deregistration required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VAT registered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[TRN]</w:t>
            </w:r>
            <w:r>
              <w:rPr>
                <w:rFonts w:ascii="Calibri" w:cs="Calibri" w:eastAsia="Calibri" w:hAnsi="Calibri"/>
                <w:sz w:val="19"/>
                <w:szCs w:val="19"/>
              </w:rPr>
              <w:t xml:space="preserve"> — </w:t>
            </w:r>
            <w:r>
              <w:rPr>
                <w:rFonts w:ascii="Calibri" w:cs="Calibri" w:eastAsia="Calibri" w:hAnsi="Calibri"/>
                <w:b/>
                <w:bCs/>
                <w:sz w:val="19"/>
                <w:szCs w:val="19"/>
              </w:rPr>
              <w:t xml:space="preserve">deregistration required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Liquidator appointed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Not required]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completion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Legal advice taken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DECIDE THE ROUTE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2891"/>
        <w:gridCol w:w="4434"/>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Route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w:t>
            </w:r>
          </w:p>
        </w:tc>
        <w:tc>
          <w:tcPr>
            <w:tcW w:type="dxa" w:w="44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Formal liquidation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Solvent company with assets and liabilities to settle</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Liquidator appointed; notice period for creditors; clearances required</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Striking off</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Small, clean entity with no liabilities</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Available in some zones and circumstances; conditions apply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Redomiciliation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business continues, in a different jurisdiction</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Now available under the amended Commercial Companies Law</w:t>
            </w:r>
            <w:r>
              <w:rPr>
                <w:rFonts w:ascii="Calibri" w:cs="Calibri" w:eastAsia="Calibri" w:hAnsi="Calibri"/>
                <w:sz w:val="17"/>
                <w:szCs w:val="17"/>
              </w:rPr>
              <w:t xml:space="preserve"> — not a closure at all</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Sale of the entity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licence and history have value</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share transfer, not a closure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Insolvent liquidation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Liabilities exceed assets</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Take advice immediately</w:t>
            </w:r>
            <w:r>
              <w:rPr>
                <w:rFonts w:ascii="Calibri" w:cs="Calibri" w:eastAsia="Calibri" w:hAnsi="Calibri"/>
                <w:sz w:val="17"/>
                <w:szCs w:val="17"/>
              </w:rPr>
              <w:t xml:space="preserve"> — director duties change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Abandonment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a route.</w:t>
            </w:r>
            <w:r>
              <w:rPr>
                <w:rFonts w:ascii="Calibri" w:cs="Calibri" w:eastAsia="Calibri" w:hAnsi="Calibri"/>
                <w:sz w:val="17"/>
                <w:szCs w:val="17"/>
              </w:rPr>
              <w:t xml:space="preserve"> Fines accrue and the record follows you</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Where the company cannot pay its debts, take advice before doing anything else.</w:t>
      </w:r>
      <w:r>
        <w:rPr>
          <w:rFonts w:ascii="Calibri" w:cs="Calibri" w:eastAsia="Calibri" w:hAnsi="Calibri"/>
          <w:sz w:val="21"/>
          <w:szCs w:val="21"/>
        </w:rPr>
        <w:t xml:space="preserve"> Continuing to trade or paying some creditors ahead of others can create personal exposure for managers.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Consider redomiciliation before closure. Where the business is viable but in the wrong jurisdiction, transferring the registration preserves the trading history, the bank relationships and the contracts.</w:t>
      </w:r>
    </w:p>
    <w:p>
      <w:pPr>
        <w:keepNext/>
        <w:spacing w:after="120" w:before="280"/>
        <w:outlineLvl w:val="0"/>
      </w:pPr>
      <w:r>
        <w:rPr>
          <w:rFonts w:ascii="Calibri" w:cs="Calibri" w:eastAsia="Calibri" w:hAnsi="Calibri"/>
          <w:b/>
          <w:bCs/>
          <w:color w:val="14161B"/>
          <w:sz w:val="22"/>
          <w:szCs w:val="22"/>
        </w:rPr>
        <w:t xml:space="preserve">2. SEQUENCE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3084"/>
        <w:gridCol w:w="173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Step</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Decide and prepare</w:t>
            </w:r>
          </w:p>
        </w:tc>
        <w:tc>
          <w:tcPr>
            <w:tcW w:type="dxa" w:w="4433"/>
            <w:tcMar>
              <w:top w:type="dxa" w:w="70"/>
              <w:left w:type="dxa" w:w="100"/>
              <w:bottom w:type="dxa" w:w="70"/>
              <w:right w:type="dxa" w:w="100"/>
            </w:tcMar>
            <w:vAlign w:val="center"/>
          </w:tcPr>
          <w:p>
            <w:pPr>
              <w:spacing w:after="0" w:line="240"/>
              <w:jc w:val="left"/>
            </w:pPr>
          </w:p>
        </w:tc>
        <w:tc>
          <w:tcPr>
            <w:tcW w:type="dxa" w:w="3084"/>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Shareholder resolution to dissolve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Notarised where mainland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Liquidator appointed where required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Zone or DED requirement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Cash modelled — settlements, liabilities, closure costs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Before notifying anyone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Employees first</w:t>
            </w:r>
          </w:p>
        </w:tc>
        <w:tc>
          <w:tcPr>
            <w:tcW w:type="dxa" w:w="4433"/>
            <w:tcMar>
              <w:top w:type="dxa" w:w="70"/>
              <w:left w:type="dxa" w:w="100"/>
              <w:bottom w:type="dxa" w:w="70"/>
              <w:right w:type="dxa" w:w="100"/>
            </w:tcMar>
            <w:vAlign w:val="center"/>
          </w:tcPr>
          <w:p>
            <w:pPr>
              <w:spacing w:after="0" w:line="240"/>
              <w:jc w:val="left"/>
            </w:pPr>
          </w:p>
        </w:tc>
        <w:tc>
          <w:tcPr>
            <w:tcW w:type="dxa" w:w="3084"/>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Notice given per each contract</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30–90 days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Settlement calculated per person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Gratuity, leave, notice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All entitlements paid within 14 days of each last working day</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Non-negotiable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 permits cancelled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After settlement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Residence visas cancelled; grace periods explained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After permits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Repatriation arranged where the obligation applies</w:t>
            </w:r>
          </w:p>
        </w:tc>
        <w:tc>
          <w:tcPr>
            <w:tcW w:type="dxa" w:w="3084"/>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Obligations and clearances</w:t>
            </w:r>
          </w:p>
        </w:tc>
        <w:tc>
          <w:tcPr>
            <w:tcW w:type="dxa" w:w="4433"/>
            <w:tcMar>
              <w:top w:type="dxa" w:w="70"/>
              <w:left w:type="dxa" w:w="100"/>
              <w:bottom w:type="dxa" w:w="70"/>
              <w:right w:type="dxa" w:w="100"/>
            </w:tcMar>
            <w:vAlign w:val="center"/>
          </w:tcPr>
          <w:p>
            <w:pPr>
              <w:spacing w:after="0" w:line="240"/>
              <w:jc w:val="left"/>
            </w:pPr>
          </w:p>
        </w:tc>
        <w:tc>
          <w:tcPr>
            <w:tcW w:type="dxa" w:w="3084"/>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Creditors notified; notice period observed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 the requirement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Liabilities settled or provided for</w:t>
            </w:r>
          </w:p>
        </w:tc>
        <w:tc>
          <w:tcPr>
            <w:tcW w:type="dxa" w:w="3084"/>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Leases terminated; reinstatement completed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Recover cheques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Post-dated cheques recovered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live liability otherwise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Final tax returns filed; </w:t>
            </w:r>
            <w:r>
              <w:rPr>
                <w:rFonts w:ascii="Calibri" w:cs="Calibri" w:eastAsia="Calibri" w:hAnsi="Calibri"/>
                <w:b/>
                <w:bCs/>
                <w:sz w:val="16"/>
                <w:szCs w:val="16"/>
              </w:rPr>
              <w:t xml:space="preserve">corporate tax deregistration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Required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VAT deregistration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Within the required period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Clearance certificates obtained — immigration, labour, utilities, telecoms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Each blocks the next step</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Close</w:t>
            </w:r>
          </w:p>
        </w:tc>
        <w:tc>
          <w:tcPr>
            <w:tcW w:type="dxa" w:w="4433"/>
            <w:tcMar>
              <w:top w:type="dxa" w:w="70"/>
              <w:left w:type="dxa" w:w="100"/>
              <w:bottom w:type="dxa" w:w="70"/>
              <w:right w:type="dxa" w:w="100"/>
            </w:tcMar>
            <w:vAlign w:val="center"/>
          </w:tcPr>
          <w:p>
            <w:pPr>
              <w:spacing w:after="0" w:line="240"/>
              <w:jc w:val="left"/>
            </w:pPr>
          </w:p>
        </w:tc>
        <w:tc>
          <w:tcPr>
            <w:tcW w:type="dxa" w:w="3084"/>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Establishment card and immigration file cancelled</w:t>
            </w:r>
          </w:p>
        </w:tc>
        <w:tc>
          <w:tcPr>
            <w:tcW w:type="dxa" w:w="3084"/>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 accounts closed after all payments clear</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Last, not first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Licence cancelled formally</w:t>
            </w:r>
          </w:p>
        </w:tc>
        <w:tc>
          <w:tcPr>
            <w:tcW w:type="dxa" w:w="3084"/>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Cancellation certificate obtained and retained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proof it is done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Records retained for seven years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Obligation survives closure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ORDER THAT MATTERS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2505"/>
        <w:gridCol w:w="4435"/>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 this</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Before this</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Because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Model the cash</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Announcing anything</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Settlements are due within 14 days and cannot wait for asset sales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Settle employees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Cancelling their visas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Cancelling first leaves them without status while money is owed</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 permits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Cancelling visas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sequence is prescribed</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Recover post-dated cheques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Closing the bank account</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unpresented cheque against a closed account is a serious problem</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File final tax returns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Deregistering for tax</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Deregistration requires the filings to be current</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Obtain clearances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Cancelling the licence</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authority will require them</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Close the bank account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Nothing — do it last</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Payments must clear; closure costs must be payable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Closing the bank account early is the classic self-inflicted problem. Final settlements, government fees, clearance charges and cheque presentations all still need funding, and reopening an account for a company in liquidation is close to impossible.</w:t>
      </w:r>
    </w:p>
    <w:p>
      <w:pPr>
        <w:keepNext/>
        <w:spacing w:after="120" w:before="280"/>
        <w:outlineLvl w:val="0"/>
      </w:pPr>
      <w:r>
        <w:rPr>
          <w:rFonts w:ascii="Calibri" w:cs="Calibri" w:eastAsia="Calibri" w:hAnsi="Calibri"/>
          <w:b/>
          <w:bCs/>
          <w:color w:val="14161B"/>
          <w:sz w:val="22"/>
          <w:szCs w:val="22"/>
        </w:rPr>
        <w:t xml:space="preserve">4. WHAT SURVIVES CLOSURE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 retention — seven years for tax</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From the end of the relevant tax period, not from closure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records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 needed if anything is later questioned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Personal liability of managers where duties were breached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Closure does not extinguish it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Guarantees given by shareholders or directors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Continue per their terms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Professional indemnity exposure for past work</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Claims made cover needs </w:t>
            </w:r>
            <w:r>
              <w:rPr>
                <w:rFonts w:ascii="Calibri" w:cs="Calibri" w:eastAsia="Calibri" w:hAnsi="Calibri"/>
                <w:b/>
                <w:bCs/>
                <w:sz w:val="18"/>
                <w:szCs w:val="18"/>
              </w:rPr>
              <w:t xml:space="preserve">run-off</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claims not yet raised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Settlement within 14 days is the best protection</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assessments for open periods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Deregistration does not close prior periods</w:t>
            </w:r>
          </w:p>
        </w:tc>
      </w:tr>
    </w:tbl>
    <w:p>
      <w:pPr>
        <w:spacing w:after="160"/>
      </w:pPr>
    </w:p>
    <w:p>
      <w:pPr>
        <w:keepNext/>
        <w:spacing w:after="120" w:before="280"/>
        <w:outlineLvl w:val="0"/>
      </w:pPr>
      <w:r>
        <w:rPr>
          <w:rFonts w:ascii="Calibri" w:cs="Calibri" w:eastAsia="Calibri" w:hAnsi="Calibri"/>
          <w:b/>
          <w:bCs/>
          <w:color w:val="14161B"/>
          <w:sz w:val="22"/>
          <w:szCs w:val="22"/>
        </w:rPr>
        <w:t xml:space="preserve">5. COST ESTIMATE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168"/>
        <w:gridCol w:w="3470"/>
      </w:tblGrid>
      <w:tr>
        <w:trPr>
          <w:cantSplit/>
          <w:tblHeader/>
        </w:trPr>
        <w:tc>
          <w:tcPr>
            <w:tcW w:type="dxa" w:w="61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347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Estimate (AED)</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settlements — gratuity, leave, notice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Repatriation</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Liquidator fees where required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Lease reinstatement</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Outstanding fines and penalties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Authority cancellation fees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Clearance and utility settlements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and advisory fees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Run-off insurance where required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Model this before deciding. Companies close because cash is short and then discover closure itself requires cash — at which point abandonment starts to look attractive and makes everything worse.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Abandonment is the most expensive option</w:t>
      </w:r>
    </w:p>
    <w:p>
      <w:pPr>
        <w:spacing w:after="60" w:line="264"/>
        <w:jc w:val="both"/>
      </w:pPr>
      <w:r>
        <w:rPr>
          <w:rFonts w:ascii="Calibri" w:cs="Calibri" w:eastAsia="Calibri" w:hAnsi="Calibri"/>
          <w:sz w:val="19"/>
          <w:szCs w:val="19"/>
        </w:rPr>
        <w:t xml:space="preserve">Letting a licence lapse does not dissolve the company. Fines accrue against the entity and can attach to managers, employees are left with invalid residence, and the outstanding record surfaces when the same people try to open anything else. Closing properly always costs less.</w:t>
      </w:r>
    </w:p>
    <w:p>
      <w:pPr>
        <w:keepNext/>
        <w:spacing w:after="40" w:before="140"/>
      </w:pPr>
      <w:r>
        <w:rPr>
          <w:rFonts w:ascii="Calibri" w:cs="Calibri" w:eastAsia="Calibri" w:hAnsi="Calibri"/>
          <w:b/>
          <w:bCs/>
          <w:color w:val="14161B"/>
          <w:sz w:val="20"/>
          <w:szCs w:val="20"/>
        </w:rPr>
        <w:t xml:space="preserve">Model the cost of closing before announcing it</w:t>
      </w:r>
    </w:p>
    <w:p>
      <w:pPr>
        <w:spacing w:after="60" w:line="264"/>
        <w:jc w:val="both"/>
      </w:pPr>
      <w:r>
        <w:rPr>
          <w:rFonts w:ascii="Calibri" w:cs="Calibri" w:eastAsia="Calibri" w:hAnsi="Calibri"/>
          <w:sz w:val="19"/>
          <w:szCs w:val="19"/>
        </w:rPr>
        <w:t xml:space="preserve">Settlements are due within 14 days of each last working day and cannot wait for assets to be sold. Add reinstatement, clearances, fines, liquidator and advisory fees. Businesses close because cash is short and then find that closure needs cash.</w:t>
      </w:r>
    </w:p>
    <w:p>
      <w:pPr>
        <w:keepNext/>
        <w:spacing w:after="40" w:before="140"/>
      </w:pPr>
      <w:r>
        <w:rPr>
          <w:rFonts w:ascii="Calibri" w:cs="Calibri" w:eastAsia="Calibri" w:hAnsi="Calibri"/>
          <w:b/>
          <w:bCs/>
          <w:color w:val="14161B"/>
          <w:sz w:val="20"/>
          <w:szCs w:val="20"/>
        </w:rPr>
        <w:t xml:space="preserve">Settle employees before cancelling their visas</w:t>
      </w:r>
    </w:p>
    <w:p>
      <w:pPr>
        <w:spacing w:after="60" w:line="264"/>
        <w:jc w:val="both"/>
      </w:pPr>
      <w:r>
        <w:rPr>
          <w:rFonts w:ascii="Calibri" w:cs="Calibri" w:eastAsia="Calibri" w:hAnsi="Calibri"/>
          <w:sz w:val="19"/>
          <w:szCs w:val="19"/>
        </w:rPr>
        <w:t xml:space="preserve">Cancellation follows settlement, not the other way round. Cancelling first leaves people without status while money is owed and converts an orderly closure into a MOHRE complaint. The 14-day rule applies to each individual’s last working day, not to the closure date.</w:t>
      </w:r>
    </w:p>
    <w:p>
      <w:pPr>
        <w:keepNext/>
        <w:spacing w:after="40" w:before="140"/>
      </w:pPr>
      <w:r>
        <w:rPr>
          <w:rFonts w:ascii="Calibri" w:cs="Calibri" w:eastAsia="Calibri" w:hAnsi="Calibri"/>
          <w:b/>
          <w:bCs/>
          <w:color w:val="14161B"/>
          <w:sz w:val="20"/>
          <w:szCs w:val="20"/>
        </w:rPr>
        <w:t xml:space="preserve">Close the bank account last</w:t>
      </w:r>
    </w:p>
    <w:p>
      <w:pPr>
        <w:spacing w:after="60" w:line="264"/>
        <w:jc w:val="both"/>
      </w:pPr>
      <w:r>
        <w:rPr>
          <w:rFonts w:ascii="Calibri" w:cs="Calibri" w:eastAsia="Calibri" w:hAnsi="Calibri"/>
          <w:sz w:val="19"/>
          <w:szCs w:val="19"/>
        </w:rPr>
        <w:t xml:space="preserve">Final settlements, government fees, clearance charges and cheque presentations all still need funding. Reopening an account for a company in liquidation is close to impossible. This is the most common self-inflicted problem in a closure.</w:t>
      </w:r>
    </w:p>
    <w:p>
      <w:pPr>
        <w:keepNext/>
        <w:spacing w:after="40" w:before="140"/>
      </w:pPr>
      <w:r>
        <w:rPr>
          <w:rFonts w:ascii="Calibri" w:cs="Calibri" w:eastAsia="Calibri" w:hAnsi="Calibri"/>
          <w:b/>
          <w:bCs/>
          <w:color w:val="14161B"/>
          <w:sz w:val="20"/>
          <w:szCs w:val="20"/>
        </w:rPr>
        <w:t xml:space="preserve">Recover post-dated cheques before closing the account</w:t>
      </w:r>
    </w:p>
    <w:p>
      <w:pPr>
        <w:spacing w:after="60" w:line="264"/>
        <w:jc w:val="both"/>
      </w:pPr>
      <w:r>
        <w:rPr>
          <w:rFonts w:ascii="Calibri" w:cs="Calibri" w:eastAsia="Calibri" w:hAnsi="Calibri"/>
          <w:sz w:val="19"/>
          <w:szCs w:val="19"/>
        </w:rPr>
        <w:t xml:space="preserve">An unpresented cheque hitting a closed account is a serious problem, and the treatment of dishonoured cheques changed materially in 2022. Retrieve every outstanding cheque from landlords, suppliers and lenders, and obtain written confirmation that none remain.</w:t>
      </w:r>
    </w:p>
    <w:p>
      <w:pPr>
        <w:keepNext/>
        <w:spacing w:after="40" w:before="140"/>
      </w:pPr>
      <w:r>
        <w:rPr>
          <w:rFonts w:ascii="Calibri" w:cs="Calibri" w:eastAsia="Calibri" w:hAnsi="Calibri"/>
          <w:b/>
          <w:bCs/>
          <w:color w:val="14161B"/>
          <w:sz w:val="20"/>
          <w:szCs w:val="20"/>
        </w:rPr>
        <w:t xml:space="preserve">Deregister for tax — it is not automatic</w:t>
      </w:r>
    </w:p>
    <w:p>
      <w:pPr>
        <w:spacing w:after="60" w:line="264"/>
        <w:jc w:val="both"/>
      </w:pPr>
      <w:r>
        <w:rPr>
          <w:rFonts w:ascii="Calibri" w:cs="Calibri" w:eastAsia="Calibri" w:hAnsi="Calibri"/>
          <w:sz w:val="19"/>
          <w:szCs w:val="19"/>
        </w:rPr>
        <w:t xml:space="preserve">Corporate tax and VAT deregistration are separate steps requiring current filings. Cancelling the licence does not deregister the entity, and an underegistered taxable person continues to have obligations and accrues penalties for missed filings.</w:t>
      </w:r>
    </w:p>
    <w:p>
      <w:pPr>
        <w:keepNext/>
        <w:spacing w:after="40" w:before="140"/>
      </w:pPr>
      <w:r>
        <w:rPr>
          <w:rFonts w:ascii="Calibri" w:cs="Calibri" w:eastAsia="Calibri" w:hAnsi="Calibri"/>
          <w:b/>
          <w:bCs/>
          <w:color w:val="14161B"/>
          <w:sz w:val="20"/>
          <w:szCs w:val="20"/>
        </w:rPr>
        <w:t xml:space="preserve">Take advice immediately if the company cannot pay its debts</w:t>
      </w:r>
    </w:p>
    <w:p>
      <w:pPr>
        <w:spacing w:after="60" w:line="264"/>
        <w:jc w:val="both"/>
      </w:pPr>
      <w:r>
        <w:rPr>
          <w:rFonts w:ascii="Calibri" w:cs="Calibri" w:eastAsia="Calibri" w:hAnsi="Calibri"/>
          <w:sz w:val="19"/>
          <w:szCs w:val="19"/>
        </w:rPr>
        <w:t xml:space="preserve">Where liabilities exceed assets, directors’ and managers’ duties change. Continuing to trade, or paying some creditors ahead of others, can create personal exposure. This is the point at which advice is cheapest and most valuable.</w:t>
      </w:r>
    </w:p>
    <w:p>
      <w:pPr>
        <w:keepNext/>
        <w:spacing w:after="40" w:before="140"/>
      </w:pPr>
      <w:r>
        <w:rPr>
          <w:rFonts w:ascii="Calibri" w:cs="Calibri" w:eastAsia="Calibri" w:hAnsi="Calibri"/>
          <w:b/>
          <w:bCs/>
          <w:color w:val="14161B"/>
          <w:sz w:val="20"/>
          <w:szCs w:val="20"/>
        </w:rPr>
        <w:t xml:space="preserve">Consider redomiciliation instead</w:t>
      </w:r>
    </w:p>
    <w:p>
      <w:pPr>
        <w:spacing w:after="60" w:line="264"/>
        <w:jc w:val="both"/>
      </w:pPr>
      <w:r>
        <w:rPr>
          <w:rFonts w:ascii="Calibri" w:cs="Calibri" w:eastAsia="Calibri" w:hAnsi="Calibri"/>
          <w:sz w:val="19"/>
          <w:szCs w:val="19"/>
        </w:rPr>
        <w:t xml:space="preserve">The amended Commercial Companies Law allows transfer of registration between competent authorities, including between mainland and free zones. Where the business is viable but in the wrong jurisdiction, that preserves trading history, banking relationships and contracts — which closing and reincorporating destroys.</w:t>
      </w:r>
    </w:p>
    <w:p>
      <w:pPr>
        <w:keepNext/>
        <w:spacing w:after="40" w:before="140"/>
      </w:pPr>
      <w:r>
        <w:rPr>
          <w:rFonts w:ascii="Calibri" w:cs="Calibri" w:eastAsia="Calibri" w:hAnsi="Calibri"/>
          <w:b/>
          <w:bCs/>
          <w:color w:val="14161B"/>
          <w:sz w:val="20"/>
          <w:szCs w:val="20"/>
        </w:rPr>
        <w:t xml:space="preserve">Clearances gate each other</w:t>
      </w:r>
    </w:p>
    <w:p>
      <w:pPr>
        <w:spacing w:after="60" w:line="264"/>
        <w:jc w:val="both"/>
      </w:pPr>
      <w:r>
        <w:rPr>
          <w:rFonts w:ascii="Calibri" w:cs="Calibri" w:eastAsia="Calibri" w:hAnsi="Calibri"/>
          <w:sz w:val="19"/>
          <w:szCs w:val="19"/>
        </w:rPr>
        <w:t xml:space="preserve">Immigration, labour, utilities and telecoms clearances are each required before the licence can be cancelled, and some require others first. Start them early and in the right order; discovering a dependency late adds weeks.</w:t>
      </w:r>
    </w:p>
    <w:p>
      <w:pPr>
        <w:keepNext/>
        <w:spacing w:after="40" w:before="140"/>
      </w:pPr>
      <w:r>
        <w:rPr>
          <w:rFonts w:ascii="Calibri" w:cs="Calibri" w:eastAsia="Calibri" w:hAnsi="Calibri"/>
          <w:b/>
          <w:bCs/>
          <w:color w:val="14161B"/>
          <w:sz w:val="20"/>
          <w:szCs w:val="20"/>
        </w:rPr>
        <w:t xml:space="preserve">Obtain and keep the cancellation certificate</w:t>
      </w:r>
    </w:p>
    <w:p>
      <w:pPr>
        <w:spacing w:after="60" w:line="264"/>
        <w:jc w:val="both"/>
      </w:pPr>
      <w:r>
        <w:rPr>
          <w:rFonts w:ascii="Calibri" w:cs="Calibri" w:eastAsia="Calibri" w:hAnsi="Calibri"/>
          <w:sz w:val="19"/>
          <w:szCs w:val="19"/>
        </w:rPr>
        <w:t xml:space="preserve">The certificate is the proof the entity was closed properly. Without it, the owners have no answer when the record is queried years later, and reconstructing the position after the fact is difficult.</w:t>
      </w:r>
    </w:p>
    <w:p>
      <w:pPr>
        <w:keepNext/>
        <w:spacing w:after="40" w:before="140"/>
      </w:pPr>
      <w:r>
        <w:rPr>
          <w:rFonts w:ascii="Calibri" w:cs="Calibri" w:eastAsia="Calibri" w:hAnsi="Calibri"/>
          <w:b/>
          <w:bCs/>
          <w:color w:val="14161B"/>
          <w:sz w:val="20"/>
          <w:szCs w:val="20"/>
        </w:rPr>
        <w:t xml:space="preserve">Buy run-off cover for past work</w:t>
      </w:r>
    </w:p>
    <w:p>
      <w:pPr>
        <w:spacing w:after="60" w:line="264"/>
        <w:jc w:val="both"/>
      </w:pPr>
      <w:r>
        <w:rPr>
          <w:rFonts w:ascii="Calibri" w:cs="Calibri" w:eastAsia="Calibri" w:hAnsi="Calibri"/>
          <w:sz w:val="19"/>
          <w:szCs w:val="19"/>
        </w:rPr>
        <w:t xml:space="preserve">Professional indemnity is usually written on a claims made basis, responding only to claims notified during the policy period. Ceasing to trade does not end exposure for work already done. Run-off cover is routinely forgotten in an otherwise orderly closure.</w:t>
      </w:r>
    </w:p>
    <w:p>
      <w:pPr>
        <w:keepNext/>
        <w:spacing w:after="40" w:before="140"/>
      </w:pPr>
      <w:r>
        <w:rPr>
          <w:rFonts w:ascii="Calibri" w:cs="Calibri" w:eastAsia="Calibri" w:hAnsi="Calibri"/>
          <w:b/>
          <w:bCs/>
          <w:color w:val="14161B"/>
          <w:sz w:val="20"/>
          <w:szCs w:val="20"/>
        </w:rPr>
        <w:t xml:space="preserve">Retention obligations survive</w:t>
      </w:r>
    </w:p>
    <w:p>
      <w:pPr>
        <w:spacing w:after="60" w:line="264"/>
        <w:jc w:val="both"/>
      </w:pPr>
      <w:r>
        <w:rPr>
          <w:rFonts w:ascii="Calibri" w:cs="Calibri" w:eastAsia="Calibri" w:hAnsi="Calibri"/>
          <w:sz w:val="19"/>
          <w:szCs w:val="19"/>
        </w:rPr>
        <w:t xml:space="preserve">Tax records must be kept for seven years from the end of the relevant tax period, which continues past closure. Decide who holds them and where before the entity ceases to exist and nobody is responsible.</w:t>
      </w:r>
    </w:p>
    <w:p>
      <w:pPr>
        <w:keepNext/>
        <w:spacing w:after="40" w:before="140"/>
      </w:pPr>
      <w:r>
        <w:rPr>
          <w:rFonts w:ascii="Calibri" w:cs="Calibri" w:eastAsia="Calibri" w:hAnsi="Calibri"/>
          <w:b/>
          <w:bCs/>
          <w:color w:val="14161B"/>
          <w:sz w:val="20"/>
          <w:szCs w:val="20"/>
        </w:rPr>
        <w:t xml:space="preserve">Personal guarantees do not close with the company</w:t>
      </w:r>
    </w:p>
    <w:p>
      <w:pPr>
        <w:spacing w:after="60" w:line="264"/>
        <w:jc w:val="both"/>
      </w:pPr>
      <w:r>
        <w:rPr>
          <w:rFonts w:ascii="Calibri" w:cs="Calibri" w:eastAsia="Calibri" w:hAnsi="Calibri"/>
          <w:sz w:val="19"/>
          <w:szCs w:val="19"/>
        </w:rPr>
        <w:t xml:space="preserve">Guarantees given by shareholders or directors to landlords, banks or suppliers continue on their own terms. Identify them during the closure and address them explicitly rather than assuming dissolution ends them.</w:t>
      </w:r>
    </w:p>
    <w:p>
      <w:pPr>
        <w:keepNext/>
        <w:spacing w:after="40" w:before="140"/>
      </w:pPr>
      <w:r>
        <w:rPr>
          <w:rFonts w:ascii="Calibri" w:cs="Calibri" w:eastAsia="Calibri" w:hAnsi="Calibri"/>
          <w:b/>
          <w:bCs/>
          <w:color w:val="14161B"/>
          <w:sz w:val="20"/>
          <w:szCs w:val="20"/>
        </w:rPr>
        <w:t xml:space="preserve">Tell employees early and honestly</w:t>
      </w:r>
    </w:p>
    <w:p>
      <w:pPr>
        <w:spacing w:after="60" w:line="264"/>
        <w:jc w:val="both"/>
      </w:pPr>
      <w:r>
        <w:rPr>
          <w:rFonts w:ascii="Calibri" w:cs="Calibri" w:eastAsia="Calibri" w:hAnsi="Calibri"/>
          <w:sz w:val="19"/>
          <w:szCs w:val="19"/>
        </w:rPr>
        <w:t xml:space="preserve">People need time to find work and to sort out residence for themselves and their families. A closure announced at the last moment, with visas cancelled promptly, causes real harm and is remembered by everyone who worked there.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Liquidation and striking-off procedures, clearance requirements, tax deregistration deadlines, redomiciliation provisions and insolvency rules differ by emirate and free zone and change — take UAE legal and tax advice before beginning a closure, and immediately if the company may be unable to pay its debts.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2026-08-23T16:28:35.452Z</dcterms:created>
  <dcterms:modified xsi:type="dcterms:W3CDTF">2026-08-23T16:28:35.452Z</dcterms:modified>
</cp:coreProperties>
</file>

<file path=docProps/custom.xml><?xml version="1.0" encoding="utf-8"?>
<Properties xmlns="http://schemas.openxmlformats.org/officeDocument/2006/custom-properties" xmlns:vt="http://schemas.openxmlformats.org/officeDocument/2006/docPropsVTypes"/>
</file>