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CHOOSING YOUR UAE JURISDICTION</w:t>
      </w:r>
    </w:p>
    <w:p>
      <w:pPr>
        <w:spacing w:after="260"/>
        <w:jc w:val="center"/>
      </w:pPr>
      <w:r>
        <w:rPr>
          <w:rFonts w:ascii="Calibri" w:cs="Calibri" w:eastAsia="Calibri" w:hAnsi="Calibri"/>
          <w:i/>
          <w:iCs/>
          <w:color w:val="6E7480"/>
          <w:sz w:val="19"/>
          <w:szCs w:val="19"/>
        </w:rPr>
        <w:t xml:space="preserve">Mainland, free zone, DIFC or ADGM</w:t>
      </w:r>
    </w:p>
    <w:p>
      <w:pPr>
        <w:spacing w:after="180" w:before="0" w:line="276"/>
        <w:jc w:val="both"/>
      </w:pPr>
      <w:r>
        <w:rPr>
          <w:rFonts w:ascii="Calibri" w:cs="Calibri" w:eastAsia="Calibri" w:hAnsi="Calibri"/>
          <w:i/>
          <w:iCs/>
          <w:color w:val="6E7480"/>
          <w:sz w:val="21"/>
          <w:szCs w:val="21"/>
        </w:rPr>
        <w:t xml:space="preserve">This is the first decision, and almost everything else follows from it. The UAE is not one legal system but three: the federal mainland, the non-financial free zones, and the common-law jurisdictions of DIFC and ADGM. An employment contract, a data protection policy or a shareholders’ agreement that is correct in one may be wrong in another.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Business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NATIONALITIES]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are the customers?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[UAE mainland / Free zone / Overseas / Mixed]</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Regulated activity?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which regulator / No]</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 expected in year one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External investment expected?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Possibly]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 selected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name it / DIFC / ADGM]</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recorded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[WHY]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Decision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QUESTION THAT DECIDES IT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Who will you invoice?</w:t>
      </w:r>
      <w:r>
        <w:rPr>
          <w:rFonts w:ascii="Calibri" w:cs="Calibri" w:eastAsia="Calibri" w:hAnsi="Calibri"/>
          <w:sz w:val="21"/>
          <w:szCs w:val="21"/>
        </w:rPr>
        <w:t xml:space="preserve"> This single question resolves most cases.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1927"/>
        <w:gridCol w:w="5206"/>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If you will invoice…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Then</w:t>
            </w:r>
          </w:p>
        </w:tc>
        <w:tc>
          <w:tcPr>
            <w:tcW w:type="dxa" w:w="52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Because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UAE mainland customers, regularly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Mainland</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free zone entity selling into the mainland needs a distributor, a branch, or accepts that the income is non-qualifying for corporate tax</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Customers outside the UAE, or inside your own free zone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 zone</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Qualifying income may be taxed at 0% as a Qualifying Free Zone Person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Financial services clients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DIFC or ADGM</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Regulated financial activity generally requires a financial free zone licence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mix, with mainland revenue material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Mainland</w:t>
            </w:r>
            <w:r>
              <w:rPr>
                <w:rFonts w:ascii="Calibri" w:cs="Calibri" w:eastAsia="Calibri" w:hAnsi="Calibri"/>
                <w:sz w:val="17"/>
                <w:szCs w:val="17"/>
              </w:rPr>
              <w:t xml:space="preserve">, or a dual structure</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Breaching the free zone de minimis costs the 0% rate for five periods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Nobody yet — pre-revenue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[Depends on the plan]</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Choose for where revenue will come from, not where setup is cheapest</w:t>
            </w:r>
          </w:p>
        </w:tc>
      </w:tr>
    </w:tbl>
    <w:p>
      <w:pPr>
        <w:spacing w:after="140"/>
      </w:pP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The old shorthand — "free zone for 100% foreign ownership" — is out of date. Since the Commercial Companies Law amendments, 100% foreign ownership is available on the mainland for most activities. Ownership is no longer the deciding factor; market access and tax treatment are.</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240" w:before="240"/>
        <w:jc w:val="center"/>
      </w:pPr>
      <w:r>
        <w:rPr>
          <w:rFonts w:ascii="Calibri" w:cs="Calibri" w:eastAsia="Calibri" w:hAnsi="Calibri"/>
          <w:b/>
          <w:bCs/>
          <w:color w:val="14161B"/>
          <w:spacing w:val="12"/>
          <w:sz w:val="28"/>
          <w:szCs w:val="28"/>
        </w:rPr>
        <w:t xml:space="preserve">2. THE FOUR OPTIONS COMPARED</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2406"/>
        <w:gridCol w:w="3157"/>
        <w:gridCol w:w="3157"/>
        <w:gridCol w:w="3157"/>
        <w:gridCol w:w="3161"/>
      </w:tblGrid>
      <w:tr>
        <w:trPr>
          <w:cantSplit/>
          <w:tblHeader/>
        </w:trPr>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Feature</w:t>
            </w:r>
          </w:p>
        </w:tc>
        <w:tc>
          <w:tcPr>
            <w:tcW w:type="dxa" w:w="31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Mainland</w:t>
            </w:r>
          </w:p>
        </w:tc>
        <w:tc>
          <w:tcPr>
            <w:tcW w:type="dxa" w:w="31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Non-financial free zone</w:t>
            </w:r>
          </w:p>
        </w:tc>
        <w:tc>
          <w:tcPr>
            <w:tcW w:type="dxa" w:w="31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DIFC</w:t>
            </w:r>
          </w:p>
        </w:tc>
        <w:tc>
          <w:tcPr>
            <w:tcW w:type="dxa" w:w="316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ADGM</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Governing company law</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Federal Decree-Law 32/2021 (CCL), as amended by FDL 20/2025</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Zone regulations, plus CCL where it reaches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DIFC Companies Law</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ADGM Companies Regulations</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Legal tradition</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Civil law</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Civil law</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English common law</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English common law</w:t>
            </w:r>
            <w:r>
              <w:rPr>
                <w:rFonts w:ascii="Calibri" w:cs="Calibri" w:eastAsia="Calibri" w:hAnsi="Calibri"/>
                <w:sz w:val="14"/>
                <w:szCs w:val="14"/>
              </w:rPr>
              <w:t xml:space="preserve">, with direct application of English law</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Language of record</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Arabic prevails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Usually English, Arabic for federal matters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English</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English</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Courts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Emirate and federal courts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Emirate and federal courts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DIFC Courts</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ADGM Courts</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Foreign ownership</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100% for most activities; strategic sectors restricted</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100%</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100%</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100%</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Selling to UAE mainland</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Direct</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Restricted — distributor, branch, or non-qualifying income</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Restricted</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Restricted</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Employment law</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Federal Decree-Law 33/2021</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Federal Decree-Law 33/2021, zone-administered</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DIFC Employment Law</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ADGM Employment Regulations</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End of service</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Gratuity 21/30 days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Gratuity 21/30 days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DEWS</w:t>
            </w:r>
            <w:r>
              <w:rPr>
                <w:rFonts w:ascii="Calibri" w:cs="Calibri" w:eastAsia="Calibri" w:hAnsi="Calibri"/>
                <w:sz w:val="14"/>
                <w:szCs w:val="14"/>
              </w:rPr>
              <w:t xml:space="preserve"> funded contributions</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Funded scheme</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Emiratisation</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Applies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Generally does not apply</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Does not apply</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Does not apply</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ILOE unemployment insurance</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Mandatory</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Mandatory</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Optional</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Optional</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Data protection</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Federal PDPL 45/2021</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Federal PDPL</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DIFC DP Law 5/2020</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ADGM DP Regulations 2021</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Corporate tax</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9% above AED 375,000</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0% on qualifying income if QFZP, else 9%</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As free zone — QFZP rules apply</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As free zone — QFZP rules apply</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VAT</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5%</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5%; designated zones differ for goods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5%</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5%</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Share structures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Limited flexibility; transfers notarised</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Zone-dependent</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Flexible — classes, options, SPVs</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Flexible</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Suits venture investment</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Poorly</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Variably</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Well</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Well</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Visa quota</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Linked to office space and activity</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Package-based</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Package-based</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Package-based</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Typical setup cost</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[Higher — office required]</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[Lower — flexi-desk options]</w:t>
            </w:r>
          </w:p>
        </w:tc>
        <w:tc>
          <w:tcPr>
            <w:tcW w:type="dxa" w:w="31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[Higher]</w:t>
            </w:r>
          </w:p>
        </w:tc>
        <w:tc>
          <w:tcPr>
            <w:tcW w:type="dxa" w:w="316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[Higher]</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3. WHERE EACH ONE GOES WRONG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4433"/>
        <w:gridCol w:w="3085"/>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Choice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 failure mode</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How to avoid it</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 zone, selling to the mainland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Non-qualifying income breaches the de minimis — the lower of AED 5,000,000 or 5% of revenue — and QFZP status is lost </w:t>
            </w:r>
            <w:r>
              <w:rPr>
                <w:rFonts w:ascii="Calibri" w:cs="Calibri" w:eastAsia="Calibri" w:hAnsi="Calibri"/>
                <w:b/>
                <w:bCs/>
                <w:sz w:val="17"/>
                <w:szCs w:val="17"/>
              </w:rPr>
              <w:t xml:space="preserve">for that period and the following four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Model mainland revenue before choosing. One invoice can cost more than the licence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 zone, needing mainland presence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Cannot open a shop, bid for certain government work, or serve mainland clients directly without a branch or distributor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market access requirements against the actual business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Mainland, in a strategic sector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Foreign ownership restrictions still apply to defined strategic activities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activity against the current Cabinet decision before committing</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DIFC or ADGM for an operating business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Higher cost, and mainland market access is still restricted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These suit financial services, holding structures and venture vehicles — not a trading company</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Any zone, wrong activity code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licence activity must match what you actually do; visa roles must match the licence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Get the activity list right at licensing, not at the first visa refusal</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Choosing on setup cost alone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cheapest licence frequently produces the most expensive structure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Model three years of tax, visas and compliance, not the first invoice</w:t>
            </w:r>
          </w:p>
        </w:tc>
      </w:tr>
    </w:tbl>
    <w:p>
      <w:pPr>
        <w:spacing w:after="160"/>
      </w:pPr>
    </w:p>
    <w:p>
      <w:pPr>
        <w:keepNext/>
        <w:spacing w:after="120" w:before="280"/>
        <w:outlineLvl w:val="0"/>
      </w:pPr>
      <w:r>
        <w:rPr>
          <w:rFonts w:ascii="Calibri" w:cs="Calibri" w:eastAsia="Calibri" w:hAnsi="Calibri"/>
          <w:b/>
          <w:bCs/>
          <w:color w:val="14161B"/>
          <w:sz w:val="22"/>
          <w:szCs w:val="22"/>
        </w:rPr>
        <w:t xml:space="preserve">4. WHAT CHANGES WITH YOUR CHOICE</w:t>
      </w:r>
    </w:p>
    <w:p>
      <w:pPr>
        <w:spacing w:after="120" w:before="0" w:line="276"/>
        <w:jc w:val="both"/>
      </w:pPr>
      <w:r>
        <w:rPr>
          <w:rFonts w:ascii="Calibri" w:cs="Calibri" w:eastAsia="Calibri" w:hAnsi="Calibri"/>
          <w:i/>
          <w:iCs/>
          <w:sz w:val="21"/>
          <w:szCs w:val="21"/>
        </w:rPr>
        <w:t xml:space="preserve">Each row is a document set that differs by jurisdiction. This is why the choice comes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2698"/>
        <w:gridCol w:w="2313"/>
        <w:gridCol w:w="2700"/>
      </w:tblGrid>
      <w:tr>
        <w:trPr>
          <w:cantSplit/>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Area</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Mainland</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Free zone</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DIFC / ADGM</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Employment contract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MOHRE standard contract, registered within 14 days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Zone contract, federal law applies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DIFC/ADGM contract — different document entirely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End of service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Gratuity accrual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Gratuity accrual</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DEWS or qualifying scheme contributions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 permits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MOHRE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Zone authority</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Zone authority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Emiratisation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Quota, Nafis registration, penalties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Generally not applicable</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 applicable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Wage payment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WPS mandatory at 5+ employees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WPS via zone</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Zone rules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 protection policy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PDPL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PDPL</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DIFC DP Law or ADGM DP Regulations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Constitutional document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Memorandum of Association, notarised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Zone articles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Articles of Association</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 transfer</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Notarised, DED approval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Zone approval</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Board and register, common-law style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Dispute forum</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Emirate courts, Arabic</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Emirate courts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DIFC or ADGM Courts, English</w:t>
            </w:r>
          </w:p>
        </w:tc>
      </w:tr>
    </w:tbl>
    <w:p>
      <w:pPr>
        <w:spacing w:after="160"/>
      </w:pPr>
    </w:p>
    <w:p>
      <w:pPr>
        <w:keepNext/>
        <w:spacing w:after="120" w:before="280"/>
        <w:outlineLvl w:val="0"/>
      </w:pPr>
      <w:r>
        <w:rPr>
          <w:rFonts w:ascii="Calibri" w:cs="Calibri" w:eastAsia="Calibri" w:hAnsi="Calibri"/>
          <w:b/>
          <w:bCs/>
          <w:color w:val="14161B"/>
          <w:sz w:val="22"/>
          <w:szCs w:val="22"/>
        </w:rPr>
        <w:t xml:space="preserve">5. DECISION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1734"/>
        <w:gridCol w:w="3279"/>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Answer</w:t>
            </w:r>
          </w:p>
        </w:tc>
        <w:tc>
          <w:tcPr>
            <w:tcW w:type="dxa" w:w="327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Points to</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proportion of revenue will come from UAE mainland customers?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Above about 5 per cent, free zone QFZP status is at risk</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activity regulated, and by whom?</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May dictate the jurisdiction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activity on the strategic-impact list?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 ownership restrictions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we need a physical shop or mainland premises?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Will we bid for government contracts?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Usually mainland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How many visas do we need in year one?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Affects zone package and mainland office size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Will we raise external equity?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ADGM/DIFC or offshore holdco — see the notes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we need English-language courts and common law?</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DIFC or ADGM</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Will we employ Emiratis, or approach 50 employees?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 Emiratisation obligations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is our three-year cost model for each option?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visas, office, tax, compliance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[JURISDICTION]</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[REASON]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Decide this before anything else</w:t>
      </w:r>
    </w:p>
    <w:p>
      <w:pPr>
        <w:spacing w:after="60" w:line="264"/>
        <w:jc w:val="both"/>
      </w:pPr>
      <w:r>
        <w:rPr>
          <w:rFonts w:ascii="Calibri" w:cs="Calibri" w:eastAsia="Calibri" w:hAnsi="Calibri"/>
          <w:sz w:val="19"/>
          <w:szCs w:val="19"/>
        </w:rPr>
        <w:t xml:space="preserve">The jurisdiction determines which employment contract, which data protection policy, which constitutional document and which courts apply. Every other template in this library has a jurisdiction assumption built into it. Getting this wrong means rebuilding the document set, and in some cases restructuring the company.</w:t>
      </w:r>
    </w:p>
    <w:p>
      <w:pPr>
        <w:keepNext/>
        <w:spacing w:after="40" w:before="140"/>
      </w:pPr>
      <w:r>
        <w:rPr>
          <w:rFonts w:ascii="Calibri" w:cs="Calibri" w:eastAsia="Calibri" w:hAnsi="Calibri"/>
          <w:b/>
          <w:bCs/>
          <w:color w:val="14161B"/>
          <w:sz w:val="20"/>
          <w:szCs w:val="20"/>
        </w:rPr>
        <w:t xml:space="preserve">Ownership is no longer the deciding factor</w:t>
      </w:r>
    </w:p>
    <w:p>
      <w:pPr>
        <w:spacing w:after="60" w:line="264"/>
        <w:jc w:val="both"/>
      </w:pPr>
      <w:r>
        <w:rPr>
          <w:rFonts w:ascii="Calibri" w:cs="Calibri" w:eastAsia="Calibri" w:hAnsi="Calibri"/>
          <w:sz w:val="19"/>
          <w:szCs w:val="19"/>
        </w:rPr>
        <w:t xml:space="preserve">The Commercial Companies Law amendments opened 100% foreign ownership to most mainland activities. The old advice to use a free zone purely for full ownership is out of date. Market access and tax treatment are what now distinguish the options.</w:t>
      </w:r>
    </w:p>
    <w:p>
      <w:pPr>
        <w:keepNext/>
        <w:spacing w:after="40" w:before="140"/>
      </w:pPr>
      <w:r>
        <w:rPr>
          <w:rFonts w:ascii="Calibri" w:cs="Calibri" w:eastAsia="Calibri" w:hAnsi="Calibri"/>
          <w:b/>
          <w:bCs/>
          <w:color w:val="14161B"/>
          <w:sz w:val="20"/>
          <w:szCs w:val="20"/>
        </w:rPr>
        <w:t xml:space="preserve">The free zone tax trap is severe</w:t>
      </w:r>
    </w:p>
    <w:p>
      <w:pPr>
        <w:spacing w:after="60" w:line="264"/>
        <w:jc w:val="both"/>
      </w:pPr>
      <w:r>
        <w:rPr>
          <w:rFonts w:ascii="Calibri" w:cs="Calibri" w:eastAsia="Calibri" w:hAnsi="Calibri"/>
          <w:sz w:val="19"/>
          <w:szCs w:val="19"/>
        </w:rPr>
        <w:t xml:space="preserve">A Qualifying Free Zone Person pays 0% on qualifying income. The de minimis for non-qualifying revenue is the lower of AED 5,000,000 or 5% of total revenue. Breach it and QFZP status is lost for that tax period </w:t>
      </w:r>
      <w:r>
        <w:rPr>
          <w:rFonts w:ascii="Calibri" w:cs="Calibri" w:eastAsia="Calibri" w:hAnsi="Calibri"/>
          <w:b/>
          <w:bCs/>
          <w:sz w:val="19"/>
          <w:szCs w:val="19"/>
        </w:rPr>
        <w:t xml:space="preserve">and the four following periods</w:t>
      </w:r>
      <w:r>
        <w:rPr>
          <w:rFonts w:ascii="Calibri" w:cs="Calibri" w:eastAsia="Calibri" w:hAnsi="Calibri"/>
          <w:sz w:val="19"/>
          <w:szCs w:val="19"/>
        </w:rPr>
        <w:t xml:space="preserve">, with all income taxed at 9%. For a consultancy that occasionally invoices a mainland client, one invoice can be more expensive than the trade licence.</w:t>
      </w:r>
    </w:p>
    <w:p>
      <w:pPr>
        <w:keepNext/>
        <w:spacing w:after="40" w:before="140"/>
      </w:pPr>
      <w:r>
        <w:rPr>
          <w:rFonts w:ascii="Calibri" w:cs="Calibri" w:eastAsia="Calibri" w:hAnsi="Calibri"/>
          <w:b/>
          <w:bCs/>
          <w:color w:val="14161B"/>
          <w:sz w:val="20"/>
          <w:szCs w:val="20"/>
        </w:rPr>
        <w:t xml:space="preserve">Free zone does not mean tax-free</w:t>
      </w:r>
    </w:p>
    <w:p>
      <w:pPr>
        <w:spacing w:after="60" w:line="264"/>
        <w:jc w:val="both"/>
      </w:pPr>
      <w:r>
        <w:rPr>
          <w:rFonts w:ascii="Calibri" w:cs="Calibri" w:eastAsia="Calibri" w:hAnsi="Calibri"/>
          <w:sz w:val="19"/>
          <w:szCs w:val="19"/>
        </w:rPr>
        <w:t xml:space="preserve">A free zone company is not automatically exempt. It must meet the QFZP conditions, maintain adequate substance in the zone, comply with transfer pricing, and — under current rules — prepare audited financial statements. Marketing that says "0% tax in a free zone" is describing a conditional rate as though it were automatic.</w:t>
      </w:r>
    </w:p>
    <w:p>
      <w:pPr>
        <w:keepNext/>
        <w:spacing w:after="40" w:before="140"/>
      </w:pPr>
      <w:r>
        <w:rPr>
          <w:rFonts w:ascii="Calibri" w:cs="Calibri" w:eastAsia="Calibri" w:hAnsi="Calibri"/>
          <w:b/>
          <w:bCs/>
          <w:color w:val="14161B"/>
          <w:sz w:val="20"/>
          <w:szCs w:val="20"/>
        </w:rPr>
        <w:t xml:space="preserve">Check the strategic-impact list before assuming mainland ownership</w:t>
      </w:r>
    </w:p>
    <w:p>
      <w:pPr>
        <w:spacing w:after="60" w:line="264"/>
        <w:jc w:val="both"/>
      </w:pPr>
      <w:r>
        <w:rPr>
          <w:rFonts w:ascii="Calibri" w:cs="Calibri" w:eastAsia="Calibri" w:hAnsi="Calibri"/>
          <w:sz w:val="19"/>
          <w:szCs w:val="19"/>
        </w:rPr>
        <w:t xml:space="preserve">Certain activities remain subject to Emirati ownership requirements or additional approvals, set by Cabinet decision. Confirm the specific activity rather than relying on the general position.</w:t>
      </w:r>
    </w:p>
    <w:p>
      <w:pPr>
        <w:keepNext/>
        <w:spacing w:after="40" w:before="140"/>
      </w:pPr>
      <w:r>
        <w:rPr>
          <w:rFonts w:ascii="Calibri" w:cs="Calibri" w:eastAsia="Calibri" w:hAnsi="Calibri"/>
          <w:b/>
          <w:bCs/>
          <w:color w:val="14161B"/>
          <w:sz w:val="20"/>
          <w:szCs w:val="20"/>
        </w:rPr>
        <w:t xml:space="preserve">Get the licensed activity right at the start</w:t>
      </w:r>
    </w:p>
    <w:p>
      <w:pPr>
        <w:spacing w:after="60" w:line="264"/>
        <w:jc w:val="both"/>
      </w:pPr>
      <w:r>
        <w:rPr>
          <w:rFonts w:ascii="Calibri" w:cs="Calibri" w:eastAsia="Calibri" w:hAnsi="Calibri"/>
          <w:sz w:val="19"/>
          <w:szCs w:val="19"/>
        </w:rPr>
        <w:t xml:space="preserve">The licence activity must match what the business actually does, and visa job titles must match the licence. Companies discover the mismatch at the first work permit refusal or the first regulator query, by which point amending the licence is slower than getting it right.</w:t>
      </w:r>
    </w:p>
    <w:p>
      <w:pPr>
        <w:keepNext/>
        <w:spacing w:after="40" w:before="140"/>
      </w:pPr>
      <w:r>
        <w:rPr>
          <w:rFonts w:ascii="Calibri" w:cs="Calibri" w:eastAsia="Calibri" w:hAnsi="Calibri"/>
          <w:b/>
          <w:bCs/>
          <w:color w:val="14161B"/>
          <w:sz w:val="20"/>
          <w:szCs w:val="20"/>
        </w:rPr>
        <w:t xml:space="preserve">DIFC and ADGM are not free zones in the ordinary sense</w:t>
      </w:r>
    </w:p>
    <w:p>
      <w:pPr>
        <w:spacing w:after="60" w:line="264"/>
        <w:jc w:val="both"/>
      </w:pPr>
      <w:r>
        <w:rPr>
          <w:rFonts w:ascii="Calibri" w:cs="Calibri" w:eastAsia="Calibri" w:hAnsi="Calibri"/>
          <w:sz w:val="19"/>
          <w:szCs w:val="19"/>
        </w:rPr>
        <w:t xml:space="preserve">They are separate common-law jurisdictions with their own courts, company law, employment law and data protection regimes, and direct application of English law in ADGM. That is a genuine advantage for holding structures, venture vehicles and financial services — and unnecessary cost for a trading company.</w:t>
      </w:r>
    </w:p>
    <w:p>
      <w:pPr>
        <w:keepNext/>
        <w:spacing w:after="40" w:before="140"/>
      </w:pPr>
      <w:r>
        <w:rPr>
          <w:rFonts w:ascii="Calibri" w:cs="Calibri" w:eastAsia="Calibri" w:hAnsi="Calibri"/>
          <w:b/>
          <w:bCs/>
          <w:color w:val="14161B"/>
          <w:sz w:val="20"/>
          <w:szCs w:val="20"/>
        </w:rPr>
        <w:t xml:space="preserve">Employment law is the biggest practical difference</w:t>
      </w:r>
    </w:p>
    <w:p>
      <w:pPr>
        <w:spacing w:after="60" w:line="264"/>
        <w:jc w:val="both"/>
      </w:pPr>
      <w:r>
        <w:rPr>
          <w:rFonts w:ascii="Calibri" w:cs="Calibri" w:eastAsia="Calibri" w:hAnsi="Calibri"/>
          <w:sz w:val="19"/>
          <w:szCs w:val="19"/>
        </w:rPr>
        <w:t xml:space="preserve">A mainland or ordinary free zone employer accrues gratuity and is subject to Federal Decree-Law 33/2021. A DIFC employer contributes monthly to DEWS instead and operates under a common-law style code with different notice, leave and termination rules. The employment documents are not adaptations of each other; they are different documents.</w:t>
      </w:r>
    </w:p>
    <w:p>
      <w:pPr>
        <w:keepNext/>
        <w:spacing w:after="40" w:before="140"/>
      </w:pPr>
      <w:r>
        <w:rPr>
          <w:rFonts w:ascii="Calibri" w:cs="Calibri" w:eastAsia="Calibri" w:hAnsi="Calibri"/>
          <w:b/>
          <w:bCs/>
          <w:color w:val="14161B"/>
          <w:sz w:val="20"/>
          <w:szCs w:val="20"/>
        </w:rPr>
        <w:t xml:space="preserve">Emiratisation applies to the mainland</w:t>
      </w:r>
    </w:p>
    <w:p>
      <w:pPr>
        <w:spacing w:after="60" w:line="264"/>
        <w:jc w:val="both"/>
      </w:pPr>
      <w:r>
        <w:rPr>
          <w:rFonts w:ascii="Calibri" w:cs="Calibri" w:eastAsia="Calibri" w:hAnsi="Calibri"/>
          <w:sz w:val="19"/>
          <w:szCs w:val="19"/>
        </w:rPr>
        <w:t xml:space="preserve">Quota obligations, Nafis registration and penalties attach to mainland establishments. Free zone and financial free zone entities are generally outside the regime. For a business approaching 50 employees, this is a material cost difference that should be in the three-year model.</w:t>
      </w:r>
    </w:p>
    <w:p>
      <w:pPr>
        <w:keepNext/>
        <w:spacing w:after="40" w:before="140"/>
      </w:pPr>
      <w:r>
        <w:rPr>
          <w:rFonts w:ascii="Calibri" w:cs="Calibri" w:eastAsia="Calibri" w:hAnsi="Calibri"/>
          <w:b/>
          <w:bCs/>
          <w:color w:val="14161B"/>
          <w:sz w:val="20"/>
          <w:szCs w:val="20"/>
        </w:rPr>
        <w:t xml:space="preserve">Redomiciliation is now possible</w:t>
      </w:r>
    </w:p>
    <w:p>
      <w:pPr>
        <w:spacing w:after="60" w:line="264"/>
        <w:jc w:val="both"/>
      </w:pPr>
      <w:r>
        <w:rPr>
          <w:rFonts w:ascii="Calibri" w:cs="Calibri" w:eastAsia="Calibri" w:hAnsi="Calibri"/>
          <w:sz w:val="19"/>
          <w:szCs w:val="19"/>
        </w:rPr>
        <w:t xml:space="preserve">Federal Decree-Law 20/2025 introduced a mechanism to transfer a company’s registration between competent authorities, including between the mainland and free zones. That reduces the cost of getting the initial choice wrong — but it is a process with approvals, not a switch.</w:t>
      </w:r>
    </w:p>
    <w:p>
      <w:pPr>
        <w:keepNext/>
        <w:spacing w:after="40" w:before="140"/>
      </w:pPr>
      <w:r>
        <w:rPr>
          <w:rFonts w:ascii="Calibri" w:cs="Calibri" w:eastAsia="Calibri" w:hAnsi="Calibri"/>
          <w:b/>
          <w:bCs/>
          <w:color w:val="14161B"/>
          <w:sz w:val="20"/>
          <w:szCs w:val="20"/>
        </w:rPr>
        <w:t xml:space="preserve">Venture funding usually sits above the operating entity</w:t>
      </w:r>
    </w:p>
    <w:p>
      <w:pPr>
        <w:spacing w:after="60" w:line="264"/>
        <w:jc w:val="both"/>
      </w:pPr>
      <w:r>
        <w:rPr>
          <w:rFonts w:ascii="Calibri" w:cs="Calibri" w:eastAsia="Calibri" w:hAnsi="Calibri"/>
          <w:sz w:val="19"/>
          <w:szCs w:val="19"/>
        </w:rPr>
        <w:t xml:space="preserve">Mainland LLC share structures are inflexible, transfers require notarisation and DED approval, and option schemes are awkward. Companies raising venture capital commonly hold the operating entity beneath an ADGM, DIFC or offshore holding company. Decide the holding structure at the same time as the operating jurisdiction, not at the first term sheet.</w:t>
      </w:r>
    </w:p>
    <w:p>
      <w:pPr>
        <w:keepNext/>
        <w:spacing w:after="40" w:before="140"/>
      </w:pPr>
      <w:r>
        <w:rPr>
          <w:rFonts w:ascii="Calibri" w:cs="Calibri" w:eastAsia="Calibri" w:hAnsi="Calibri"/>
          <w:b/>
          <w:bCs/>
          <w:color w:val="14161B"/>
          <w:sz w:val="20"/>
          <w:szCs w:val="20"/>
        </w:rPr>
        <w:t xml:space="preserve">Model three years, not the setup fee</w:t>
      </w:r>
    </w:p>
    <w:p>
      <w:pPr>
        <w:spacing w:after="60" w:line="264"/>
        <w:jc w:val="both"/>
      </w:pPr>
      <w:r>
        <w:rPr>
          <w:rFonts w:ascii="Calibri" w:cs="Calibri" w:eastAsia="Calibri" w:hAnsi="Calibri"/>
          <w:sz w:val="19"/>
          <w:szCs w:val="19"/>
        </w:rPr>
        <w:t xml:space="preserve">Licence renewal, visa costs, office or flexi-desk, corporate tax, VAT compliance, audit where required, WPS, and Emiratisation exposure all differ. The cheapest first-year licence frequently produces the most expensive third year.</w:t>
      </w:r>
    </w:p>
    <w:p>
      <w:pPr>
        <w:keepNext/>
        <w:spacing w:after="40" w:before="140"/>
      </w:pPr>
      <w:r>
        <w:rPr>
          <w:rFonts w:ascii="Calibri" w:cs="Calibri" w:eastAsia="Calibri" w:hAnsi="Calibri"/>
          <w:b/>
          <w:bCs/>
          <w:color w:val="14161B"/>
          <w:sz w:val="20"/>
          <w:szCs w:val="20"/>
        </w:rPr>
        <w:t xml:space="preserve">Free zones vary considerably</w:t>
      </w:r>
    </w:p>
    <w:p>
      <w:pPr>
        <w:spacing w:after="60" w:line="264"/>
        <w:jc w:val="both"/>
      </w:pPr>
      <w:r>
        <w:rPr>
          <w:rFonts w:ascii="Calibri" w:cs="Calibri" w:eastAsia="Calibri" w:hAnsi="Calibri"/>
          <w:sz w:val="19"/>
          <w:szCs w:val="19"/>
        </w:rPr>
        <w:t xml:space="preserve">There are more than forty free zones with different activity lists, visa packages, office requirements, audit rules and whether federal employment law applies in full. Choose the zone after choosing the category, and verify the specific zone’s rules rather than assuming a general free zone position.</w:t>
      </w:r>
    </w:p>
    <w:p>
      <w:pPr>
        <w:keepNext/>
        <w:spacing w:after="40" w:before="140"/>
      </w:pPr>
      <w:r>
        <w:rPr>
          <w:rFonts w:ascii="Calibri" w:cs="Calibri" w:eastAsia="Calibri" w:hAnsi="Calibri"/>
          <w:b/>
          <w:bCs/>
          <w:color w:val="14161B"/>
          <w:sz w:val="20"/>
          <w:szCs w:val="20"/>
        </w:rPr>
        <w:t xml:space="preserve">Dual structures are common and legitimate</w:t>
      </w:r>
    </w:p>
    <w:p>
      <w:pPr>
        <w:spacing w:after="60" w:line="264"/>
        <w:jc w:val="both"/>
      </w:pPr>
      <w:r>
        <w:rPr>
          <w:rFonts w:ascii="Calibri" w:cs="Calibri" w:eastAsia="Calibri" w:hAnsi="Calibri"/>
          <w:sz w:val="19"/>
          <w:szCs w:val="19"/>
        </w:rPr>
        <w:t xml:space="preserve">A free zone entity for international revenue with a mainland branch or subsidiary for local business is a normal arrangement. It costs more to run and requires clean separation of income for tax purposes, but it resolves the market access problem without risking QFZP status.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Commercial Companies Law was amended by Federal Decree-Law 20/2025; corporate tax rules, qualifying activity lists, free zone conditions and Emiratisation targets all change frequently — take legal and tax advice on the structure before incorporating, and confirm the specific free zone’s rules directly with the zone authority.</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2026-08-23T16:28:31.379Z</dcterms:created>
  <dcterms:modified xsi:type="dcterms:W3CDTF">2026-08-23T16:28:31.380Z</dcterms:modified>
</cp:coreProperties>
</file>

<file path=docProps/custom.xml><?xml version="1.0" encoding="utf-8"?>
<Properties xmlns="http://schemas.openxmlformats.org/officeDocument/2006/custom-properties" xmlns:vt="http://schemas.openxmlformats.org/officeDocument/2006/docPropsVTypes"/>
</file>