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CAP TABLE</w:t>
      </w:r>
    </w:p>
    <w:p>
      <w:pPr>
        <w:spacing w:after="260"/>
        <w:jc w:val="center"/>
      </w:pPr>
      <w:r>
        <w:rPr>
          <w:rFonts w:ascii="Calibri" w:cs="Calibri" w:eastAsia="Calibri" w:hAnsi="Calibri"/>
          <w:i/>
          <w:iCs/>
          <w:color w:val="6E7480"/>
          <w:sz w:val="19"/>
          <w:szCs w:val="19"/>
        </w:rPr>
        <w:t xml:space="preserve">Fully diluted ownership and reconciliation</w:t>
      </w:r>
    </w:p>
    <w:p>
      <w:pPr>
        <w:spacing w:after="180" w:before="0" w:line="276"/>
        <w:jc w:val="both"/>
      </w:pPr>
      <w:r>
        <w:rPr>
          <w:rFonts w:ascii="Calibri" w:cs="Calibri" w:eastAsia="Calibri" w:hAnsi="Calibri"/>
          <w:i/>
          <w:iCs/>
          <w:color w:val="6E7480"/>
          <w:sz w:val="21"/>
          <w:szCs w:val="21"/>
        </w:rPr>
        <w:t xml:space="preserve">A cap table is only useful if it is </w:t>
      </w:r>
      <w:r>
        <w:rPr>
          <w:rFonts w:ascii="Calibri" w:cs="Calibri" w:eastAsia="Calibri" w:hAnsi="Calibri"/>
          <w:b/>
          <w:bCs/>
          <w:i/>
          <w:iCs/>
          <w:color w:val="6E7480"/>
          <w:sz w:val="21"/>
          <w:szCs w:val="21"/>
        </w:rPr>
        <w:t xml:space="preserve">fully diluted</w:t>
      </w:r>
      <w:r>
        <w:rPr>
          <w:rFonts w:ascii="Calibri" w:cs="Calibri" w:eastAsia="Calibri" w:hAnsi="Calibri"/>
          <w:i/>
          <w:iCs/>
          <w:color w:val="6E7480"/>
          <w:sz w:val="21"/>
          <w:szCs w:val="21"/>
        </w:rPr>
        <w:t xml:space="preserve"> and reconciled to the operative register. In the UAE that register depends on the entity: a mainland LLC’s ownership sits in the </w:t>
      </w:r>
      <w:r>
        <w:rPr>
          <w:rFonts w:ascii="Calibri" w:cs="Calibri" w:eastAsia="Calibri" w:hAnsi="Calibri"/>
          <w:b/>
          <w:bCs/>
          <w:i/>
          <w:iCs/>
          <w:color w:val="6E7480"/>
          <w:sz w:val="21"/>
          <w:szCs w:val="21"/>
        </w:rPr>
        <w:t xml:space="preserve">notarised Memorandum of Association</w:t>
      </w:r>
      <w:r>
        <w:rPr>
          <w:rFonts w:ascii="Calibri" w:cs="Calibri" w:eastAsia="Calibri" w:hAnsi="Calibri"/>
          <w:i/>
          <w:iCs/>
          <w:color w:val="6E7480"/>
          <w:sz w:val="21"/>
          <w:szCs w:val="21"/>
        </w:rPr>
        <w:t xml:space="preserve"> and on the trade licence, not in a spreadsheet or a company-maintained register.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662"/>
        <w:gridCol w:w="5976"/>
      </w:tblGrid>
      <w:tr>
        <w:trPr>
          <w:cantSplit/>
          <w:tblHeader/>
        </w:trPr>
        <w:tc>
          <w:tcPr>
            <w:tcW w:type="dxa" w:w="36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9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[licence / registration]</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Entity type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LLC / Free zone / DIFC / ADGM / Offshore holdco]</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Operative ownership record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[Notarised MOA and licence / Zone register / Company register]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As at</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Reconciled to that record on</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Issued shares</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Fully diluted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Option or phantom pool — granted</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Pool — available</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Convertibles outstanding</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[CURRENCY]</w:t>
            </w:r>
            <w:r>
              <w:rPr>
                <w:rFonts w:ascii="Calibri" w:cs="Calibri" w:eastAsia="Calibri" w:hAnsi="Calibri"/>
                <w:b/>
                <w:bCs/>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across </w:t>
            </w:r>
            <w:r>
              <w:rPr>
                <w:rFonts w:ascii="Calibri" w:cs="Calibri" w:eastAsia="Calibri" w:hAnsi="Calibri"/>
                <w:b/>
                <w:bCs/>
                <w:sz w:val="19"/>
                <w:szCs w:val="19"/>
              </w:rPr>
              <w:t xml:space="preserve">[NUMBER]</w:t>
            </w:r>
            <w:r>
              <w:rPr>
                <w:rFonts w:ascii="Calibri" w:cs="Calibri" w:eastAsia="Calibri" w:hAnsi="Calibri"/>
                <w:sz w:val="19"/>
                <w:szCs w:val="19"/>
              </w:rPr>
              <w:t xml:space="preserve"> instruments</w:t>
            </w:r>
          </w:p>
        </w:tc>
      </w:tr>
      <w:tr>
        <w:trPr>
          <w:cantSplit/>
        </w:trPr>
        <w:tc>
          <w:tcPr>
            <w:tcW w:type="dxa" w:w="3662"/>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Maintained by</w:t>
            </w:r>
          </w:p>
        </w:tc>
        <w:tc>
          <w:tcPr>
            <w:tcW w:type="dxa" w:w="59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bl>
    <w:p>
      <w:pPr>
        <w:spacing w:after="180"/>
      </w:pPr>
    </w:p>
    <w:p>
      <w:pPr>
        <w:keepNext/>
        <w:spacing w:after="120" w:before="280"/>
        <w:outlineLvl w:val="0"/>
      </w:pPr>
      <w:r>
        <w:rPr>
          <w:rFonts w:ascii="Calibri" w:cs="Calibri" w:eastAsia="Calibri" w:hAnsi="Calibri"/>
          <w:b/>
          <w:bCs/>
          <w:color w:val="14161B"/>
          <w:sz w:val="22"/>
          <w:szCs w:val="22"/>
        </w:rPr>
        <w:t xml:space="preserve">1. WHAT FULLY DILUTED INCLUDES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542"/>
        <w:gridCol w:w="4047"/>
        <w:gridCol w:w="4049"/>
      </w:tblGrid>
      <w:tr>
        <w:trPr>
          <w:cantSplit/>
          <w:tblHeader/>
        </w:trPr>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Include?</w:t>
            </w:r>
          </w:p>
        </w:tc>
        <w:tc>
          <w:tcPr>
            <w:tcW w:type="dxa" w:w="40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40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Issued shares of every class</w:t>
            </w:r>
          </w:p>
        </w:tc>
        <w:tc>
          <w:tcPr>
            <w:tcW w:type="dxa" w:w="4049"/>
            <w:tcMar>
              <w:top w:type="dxa" w:w="70"/>
              <w:left w:type="dxa" w:w="100"/>
              <w:bottom w:type="dxa" w:w="70"/>
              <w:right w:type="dxa" w:w="100"/>
            </w:tcMar>
            <w:vAlign w:val="center"/>
          </w:tcPr>
          <w:p>
            <w:pPr>
              <w:spacing w:after="0" w:line="240"/>
              <w:jc w:val="left"/>
            </w:pP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granted and outstanding, vested and unvested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They will be exercised if the company succeeds</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Pool authorised but not yet granted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line founders most often omit</w:t>
            </w:r>
            <w:r>
              <w:rPr>
                <w:rFonts w:ascii="Calibri" w:cs="Calibri" w:eastAsia="Calibri" w:hAnsi="Calibri"/>
                <w:sz w:val="18"/>
                <w:szCs w:val="18"/>
              </w:rPr>
              <w:t xml:space="preserve"> — investors always count it</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Convertible instruments as converted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Model at the cap and at the expected round price</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Warrants and any other subscription right</w:t>
            </w:r>
          </w:p>
        </w:tc>
        <w:tc>
          <w:tcPr>
            <w:tcW w:type="dxa" w:w="4049"/>
            <w:tcMar>
              <w:top w:type="dxa" w:w="70"/>
              <w:left w:type="dxa" w:w="100"/>
              <w:bottom w:type="dxa" w:w="70"/>
              <w:right w:type="dxa" w:w="100"/>
            </w:tcMar>
            <w:vAlign w:val="center"/>
          </w:tcPr>
          <w:p>
            <w:pPr>
              <w:spacing w:after="0" w:line="240"/>
              <w:jc w:val="left"/>
            </w:pP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Yes</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Shares or equity promised but not documented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Verbal and offer-letter commitments are real</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[Model separately]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Phantom or cash-settled units</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shares, but a real claim on exit proceeds</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[Model separately]</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Anti-dilution adjustments not yet triggered</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Show the down-round case if plausible</w:t>
            </w:r>
          </w:p>
        </w:tc>
      </w:tr>
      <w:tr>
        <w:trPr>
          <w:cantSplit/>
        </w:trPr>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w:t>
            </w:r>
          </w:p>
        </w:tc>
        <w:tc>
          <w:tcPr>
            <w:tcW w:type="dxa" w:w="40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lapsed and returned to the pool</w:t>
            </w:r>
          </w:p>
        </w:tc>
        <w:tc>
          <w:tcPr>
            <w:tcW w:type="dxa" w:w="404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They sit in the available pool line</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Phantom units deserve their own line. They confer no shares and so do not dilute percentages — but they are a claim on exit proceeds and they reduce what shareholders receive. A cap table that ignores them overstates the founders’ economics even though the percentages are right.</w:t>
      </w:r>
    </w:p>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2. CAP TABLE</w:t>
      </w:r>
    </w:p>
    <w:p>
      <w:pPr>
        <w:spacing w:after="260"/>
        <w:jc w:val="center"/>
      </w:pPr>
      <w:r>
        <w:rPr>
          <w:rFonts w:ascii="Calibri" w:cs="Calibri" w:eastAsia="Calibri" w:hAnsi="Calibri"/>
          <w:i/>
          <w:iCs/>
          <w:color w:val="6E7480"/>
          <w:sz w:val="19"/>
          <w:szCs w:val="19"/>
        </w:rPr>
        <w:t xml:space="preserve">As at </w:t>
      </w:r>
      <w:r>
        <w:rPr>
          <w:rFonts w:ascii="Calibri" w:cs="Calibri" w:eastAsia="Calibri" w:hAnsi="Calibri"/>
          <w:b/>
          <w:bCs/>
          <w:i/>
          <w:iCs/>
          <w:color w:val="6E7480"/>
          <w:sz w:val="19"/>
          <w:szCs w:val="19"/>
        </w:rPr>
        <w:t xml:space="preserve">[DATE]</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2255"/>
        <w:gridCol w:w="1353"/>
        <w:gridCol w:w="1203"/>
        <w:gridCol w:w="1203"/>
        <w:gridCol w:w="1654"/>
        <w:gridCol w:w="1353"/>
        <w:gridCol w:w="1052"/>
        <w:gridCol w:w="1052"/>
        <w:gridCol w:w="1353"/>
        <w:gridCol w:w="2560"/>
      </w:tblGrid>
      <w:tr>
        <w:trPr>
          <w:cantSplit/>
          <w:tblHeader/>
        </w:trPr>
        <w:tc>
          <w:tcPr>
            <w:tcW w:type="dxa" w:w="22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Holder</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Class</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Shares</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Options</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Convertible (as converted)</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Fully diluted</w:t>
            </w:r>
          </w:p>
        </w:tc>
        <w:tc>
          <w:tcPr>
            <w:tcW w:type="dxa" w:w="10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 issued</w:t>
            </w:r>
          </w:p>
        </w:tc>
        <w:tc>
          <w:tcPr>
            <w:tcW w:type="dxa" w:w="10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 FD</w:t>
            </w:r>
          </w:p>
        </w:tc>
        <w:tc>
          <w:tcPr>
            <w:tcW w:type="dxa" w:w="135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Invested</w:t>
            </w:r>
          </w:p>
        </w:tc>
        <w:tc>
          <w:tcPr>
            <w:tcW w:type="dxa" w:w="25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Notes</w:t>
            </w: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 A]</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56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[Vesting to DATE]</w:t>
            </w: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[FOUNDER B]</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56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[Vesting to DATE]</w:t>
            </w: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[ANGEL]</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560"/>
            <w:tcMar>
              <w:top w:type="dxa" w:w="70"/>
              <w:left w:type="dxa" w:w="100"/>
              <w:bottom w:type="dxa" w:w="70"/>
              <w:right w:type="dxa" w:w="100"/>
            </w:tcMar>
            <w:vAlign w:val="center"/>
          </w:tcPr>
          <w:p>
            <w:pPr>
              <w:spacing w:after="0" w:line="240"/>
              <w:jc w:val="left"/>
            </w:pP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[INVESTOR]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[Preference]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56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[1x non-participating]</w:t>
            </w: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[EMPLOYEES]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256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[See option register]</w:t>
            </w: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Pool available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Ordinary</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256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 yet granted</w:t>
            </w: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[CONVERTIBLE HOLDER]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56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[Cap, discount]</w:t>
            </w: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Total</w:t>
            </w:r>
          </w:p>
        </w:tc>
        <w:tc>
          <w:tcPr>
            <w:tcW w:type="dxa" w:w="1353"/>
            <w:tcMar>
              <w:top w:type="dxa" w:w="70"/>
              <w:left w:type="dxa" w:w="100"/>
              <w:bottom w:type="dxa" w:w="70"/>
              <w:right w:type="dxa" w:w="100"/>
            </w:tcMar>
            <w:vAlign w:val="center"/>
          </w:tcPr>
          <w:p>
            <w:pPr>
              <w:spacing w:after="0" w:line="240"/>
              <w:jc w:val="left"/>
            </w:pP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[NUMBER]</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100%</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100%</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b/>
                <w:bCs/>
                <w:sz w:val="14"/>
                <w:szCs w:val="14"/>
              </w:rPr>
              <w:t xml:space="preserve">[AMOUNT]</w:t>
            </w:r>
          </w:p>
        </w:tc>
        <w:tc>
          <w:tcPr>
            <w:tcW w:type="dxa" w:w="2560"/>
            <w:tcMar>
              <w:top w:type="dxa" w:w="70"/>
              <w:left w:type="dxa" w:w="100"/>
              <w:bottom w:type="dxa" w:w="70"/>
              <w:right w:type="dxa" w:w="100"/>
            </w:tcMar>
            <w:vAlign w:val="center"/>
          </w:tcPr>
          <w:p>
            <w:pPr>
              <w:spacing w:after="0" w:line="240"/>
              <w:jc w:val="left"/>
            </w:pPr>
          </w:p>
        </w:tc>
      </w:tr>
      <w:tr>
        <w:trPr>
          <w:cantSplit/>
        </w:trPr>
        <w:tc>
          <w:tcPr>
            <w:tcW w:type="dxa" w:w="2255"/>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[Phantom units]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Not shares</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052"/>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1353"/>
            <w:tcMar>
              <w:top w:type="dxa" w:w="70"/>
              <w:left w:type="dxa" w:w="100"/>
              <w:bottom w:type="dxa" w:w="70"/>
              <w:right w:type="dxa" w:w="100"/>
            </w:tcMar>
            <w:vAlign w:val="center"/>
          </w:tcPr>
          <w:p>
            <w:pPr>
              <w:spacing w:after="0" w:line="240"/>
              <w:jc w:val="right"/>
            </w:pPr>
            <w:r>
              <w:rPr>
                <w:rFonts w:ascii="Calibri" w:cs="Calibri" w:eastAsia="Calibri" w:hAnsi="Calibri"/>
                <w:sz w:val="14"/>
                <w:szCs w:val="14"/>
              </w:rPr>
              <w:t xml:space="preserve">—</w:t>
            </w:r>
          </w:p>
        </w:tc>
        <w:tc>
          <w:tcPr>
            <w:tcW w:type="dxa" w:w="2560"/>
            <w:tcMar>
              <w:top w:type="dxa" w:w="70"/>
              <w:left w:type="dxa" w:w="100"/>
              <w:bottom w:type="dxa" w:w="70"/>
              <w:right w:type="dxa" w:w="100"/>
            </w:tcMar>
            <w:vAlign w:val="center"/>
          </w:tcPr>
          <w:p>
            <w:pPr>
              <w:spacing w:after="0" w:line="240"/>
              <w:jc w:val="left"/>
            </w:pPr>
            <w:r>
              <w:rPr>
                <w:rFonts w:ascii="Calibri" w:cs="Calibri" w:eastAsia="Calibri" w:hAnsi="Calibri"/>
                <w:b/>
                <w:bCs/>
                <w:sz w:val="14"/>
                <w:szCs w:val="14"/>
              </w:rPr>
              <w:t xml:space="preserve">[NUMBER]</w:t>
            </w:r>
            <w:r>
              <w:rPr>
                <w:rFonts w:ascii="Calibri" w:cs="Calibri" w:eastAsia="Calibri" w:hAnsi="Calibri"/>
                <w:b/>
                <w:bCs/>
                <w:sz w:val="14"/>
                <w:szCs w:val="14"/>
              </w:rPr>
              <w:t xml:space="preserve"> units — cash claim on exit</w:t>
            </w:r>
          </w:p>
        </w:tc>
      </w:tr>
    </w:tbl>
    <w:p>
      <w:pPr>
        <w:spacing w:after="140"/>
      </w:pPr>
    </w:p>
    <w:p>
      <w:pPr>
        <w:spacing w:after="60" w:before="240"/>
        <w:jc w:val="center"/>
      </w:pPr>
      <w:r>
        <w:rPr>
          <w:rFonts w:ascii="Calibri" w:cs="Calibri" w:eastAsia="Calibri" w:hAnsi="Calibri"/>
          <w:b/>
          <w:bCs/>
          <w:color w:val="14161B"/>
          <w:spacing w:val="12"/>
          <w:sz w:val="28"/>
          <w:szCs w:val="28"/>
        </w:rPr>
        <w:t xml:space="preserve">3. ROUND MODEL</w:t>
      </w:r>
    </w:p>
    <w:p>
      <w:pPr>
        <w:spacing w:after="260"/>
        <w:jc w:val="center"/>
      </w:pPr>
      <w:r>
        <w:rPr>
          <w:rFonts w:ascii="Calibri" w:cs="Calibri" w:eastAsia="Calibri" w:hAnsi="Calibri"/>
          <w:i/>
          <w:iCs/>
          <w:color w:val="6E7480"/>
          <w:sz w:val="19"/>
          <w:szCs w:val="19"/>
        </w:rPr>
        <w:t xml:space="preserve">Before, pool increase, and after</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3007"/>
        <w:gridCol w:w="1654"/>
        <w:gridCol w:w="1203"/>
        <w:gridCol w:w="2105"/>
        <w:gridCol w:w="1203"/>
        <w:gridCol w:w="1654"/>
        <w:gridCol w:w="1654"/>
        <w:gridCol w:w="1203"/>
        <w:gridCol w:w="1355"/>
      </w:tblGrid>
      <w:tr>
        <w:trPr>
          <w:cantSplit/>
          <w:tblHeader/>
        </w:trPr>
        <w:tc>
          <w:tcPr>
            <w:tcW w:type="dxa" w:w="30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Holder</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Now</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After pool increase</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New shares</w:t>
            </w:r>
          </w:p>
        </w:tc>
        <w:tc>
          <w:tcPr>
            <w:tcW w:type="dxa" w:w="1654"/>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After round</w:t>
            </w:r>
          </w:p>
        </w:tc>
        <w:tc>
          <w:tcPr>
            <w:tcW w:type="dxa" w:w="1203"/>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Change</w:t>
            </w:r>
          </w:p>
        </w:tc>
      </w:tr>
      <w:tr>
        <w:trPr>
          <w:cantSplit/>
        </w:trP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[FOUNDER A]</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rPr>
          <w:cantSplit/>
        </w:trP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[FOUNDER B]</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rPr>
          <w:cantSplit/>
        </w:trP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[EXISTING INVESTORS]</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rPr>
          <w:cantSplit/>
        </w:trP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[NEW INVESTOR]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rPr>
          <w:cantSplit/>
        </w:trP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Options granted</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rPr>
          <w:cantSplit/>
        </w:trP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Pool available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rPr>
          <w:cantSplit/>
        </w:trP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Convertibles as converted</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w:t>
            </w:r>
          </w:p>
        </w:tc>
      </w:tr>
      <w:tr>
        <w:trPr>
          <w:cantSplit/>
        </w:trPr>
        <w:tc>
          <w:tcPr>
            <w:tcW w:type="dxa" w:w="30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Total fully diluted</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2105"/>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654"/>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right"/>
            </w:pPr>
            <w:r>
              <w:rPr>
                <w:rFonts w:ascii="Calibri" w:cs="Calibri" w:eastAsia="Calibri" w:hAnsi="Calibri"/>
                <w:b/>
                <w:bCs/>
                <w:sz w:val="15"/>
                <w:szCs w:val="15"/>
              </w:rPr>
              <w:t xml:space="preserve">100%</w:t>
            </w:r>
          </w:p>
        </w:tc>
        <w:tc>
          <w:tcPr>
            <w:tcW w:type="dxa" w:w="1355"/>
            <w:tcMar>
              <w:top w:type="dxa" w:w="70"/>
              <w:left w:type="dxa" w:w="100"/>
              <w:bottom w:type="dxa" w:w="70"/>
              <w:right w:type="dxa" w:w="100"/>
            </w:tcMar>
            <w:vAlign w:val="center"/>
          </w:tcPr>
          <w:p>
            <w:pPr>
              <w:spacing w:after="0" w:line="240"/>
              <w:jc w:val="right"/>
            </w:pPr>
            <w:r>
              <w:rPr>
                <w:rFonts w:ascii="Calibri" w:cs="Calibri" w:eastAsia="Calibri" w:hAnsi="Calibri"/>
                <w:sz w:val="15"/>
                <w:szCs w:val="15"/>
              </w:rPr>
              <w:t xml:space="preserve">—</w:t>
            </w:r>
          </w:p>
        </w:tc>
      </w:tr>
    </w:tbl>
    <w:p>
      <w:pPr>
        <w:spacing w:after="140"/>
      </w:pPr>
    </w:p>
    <w:p>
      <w:pPr>
        <w:spacing w:after="120" w:before="0" w:line="276"/>
        <w:jc w:val="both"/>
      </w:pPr>
      <w:r>
        <w:rPr>
          <w:rFonts w:ascii="Calibri" w:cs="Calibri" w:eastAsia="Calibri" w:hAnsi="Calibri"/>
          <w:i/>
          <w:iCs/>
          <w:sz w:val="21"/>
          <w:szCs w:val="21"/>
        </w:rPr>
        <w:t xml:space="preserve">The middle columns are the ones founders rarely see. Where a pool increase sits inside the pre-money, all of that dilution falls on existing holders and none on the incoming investor.</w:t>
      </w:r>
    </w:p>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4. RECONCILIATION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397"/>
        <w:gridCol w:w="2120"/>
        <w:gridCol w:w="173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Result</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Confirmed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Issued shares agree to the operative ownership record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Mainland: agrees to the notarised MOA and the trade licence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share transfer notarised and approved by the authority</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Every issue reflected in an executed constitutional amendment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Granted options agree to the option register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Pool size agrees to the authorising resolution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Convertibles agree to signed instruments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Phantom units agree to the plan register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[NUMBER]</w:t>
            </w:r>
            <w:r>
              <w:rPr>
                <w:rFonts w:ascii="Calibri" w:cs="Calibri" w:eastAsia="Calibri" w:hAnsi="Calibri"/>
                <w:sz w:val="17"/>
                <w:szCs w:val="17"/>
              </w:rPr>
              <w:t xml:space="preserve"> / </w:t>
            </w:r>
            <w:r>
              <w:rPr>
                <w:rFonts w:ascii="Calibri" w:cs="Calibri" w:eastAsia="Calibri" w:hAnsi="Calibri"/>
                <w:b/>
                <w:bCs/>
                <w:sz w:val="17"/>
                <w:szCs w:val="17"/>
              </w:rPr>
              <w:t xml:space="preserve">[NUMBER]</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Undocumented equity promises identified and provided for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classes and rights agree to the constitutional document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UBO register reflects the current position</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mainland: shareholders on the licence are current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[DETAIL]</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b/>
          <w:bCs/>
          <w:sz w:val="21"/>
          <w:szCs w:val="21"/>
        </w:rPr>
        <w:t xml:space="preserve">For a mainland LLC the spreadsheet is not the record.</w:t>
      </w:r>
      <w:r>
        <w:rPr>
          <w:rFonts w:ascii="Calibri" w:cs="Calibri" w:eastAsia="Calibri" w:hAnsi="Calibri"/>
          <w:sz w:val="21"/>
          <w:szCs w:val="21"/>
        </w:rPr>
        <w:t xml:space="preserve"> Ownership is evidenced by the notarised MOA and reflected on the trade licence. A cap table that reconciles only to an internal register is reconciled to the wrong thing, and the discrepancy surfaces in diligence.</w:t>
      </w:r>
    </w:p>
    <w:p>
      <w:pPr>
        <w:keepNext/>
        <w:spacing w:after="120" w:before="280"/>
        <w:outlineLvl w:val="0"/>
      </w:pPr>
      <w:r>
        <w:rPr>
          <w:rFonts w:ascii="Calibri" w:cs="Calibri" w:eastAsia="Calibri" w:hAnsi="Calibri"/>
          <w:b/>
          <w:bCs/>
          <w:color w:val="14161B"/>
          <w:sz w:val="22"/>
          <w:szCs w:val="22"/>
        </w:rPr>
        <w:t xml:space="preserve">5. MAINTENANCE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2313"/>
        <w:gridCol w:w="3276"/>
        <w:gridCol w:w="366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Event</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Update required</w:t>
            </w:r>
          </w:p>
        </w:tc>
        <w:tc>
          <w:tcPr>
            <w:tcW w:type="dxa" w:w="366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Filing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issue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holder; recompute percentages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Constitutional amendment; authority approval</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Share transfer</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Move shares between holders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Notarisation; authority approval; licence amendment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grant</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Increase granted; reduce available pool</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register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exercise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Move to issued shares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real share issue — see row 1</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lapse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Return to the pool where the rules provide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Option register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Pool increase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Increase available; recompute fully diluted</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Resolution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Convertible issued</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Add as-converted line</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 until conversion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Conversion</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Replace the convertible line with shares</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See row 1</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Founder buyback on departure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Reduce the holding</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Notarised transfer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change</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Reconcile and review the UBO register</w:t>
            </w:r>
          </w:p>
        </w:tc>
        <w:tc>
          <w:tcPr>
            <w:tcW w:type="dxa" w:w="3664"/>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Central filing where required</w:t>
            </w:r>
          </w:p>
        </w:tc>
      </w:tr>
    </w:tbl>
    <w:p>
      <w:pPr>
        <w:spacing w:after="160"/>
      </w:pPr>
    </w:p>
    <w:p>
      <w:pPr>
        <w:keepNext/>
        <w:spacing w:after="120" w:before="280"/>
        <w:outlineLvl w:val="0"/>
      </w:pPr>
      <w:r>
        <w:rPr>
          <w:rFonts w:ascii="Calibri" w:cs="Calibri" w:eastAsia="Calibri" w:hAnsi="Calibri"/>
          <w:b/>
          <w:bCs/>
          <w:color w:val="14161B"/>
          <w:sz w:val="22"/>
          <w:szCs w:val="22"/>
        </w:rPr>
        <w:t xml:space="preserve">6. EXIT WATERFALL</w:t>
      </w:r>
    </w:p>
    <w:p>
      <w:pPr>
        <w:spacing w:after="110" w:before="0" w:line="276"/>
        <w:jc w:val="both"/>
      </w:pPr>
      <w:r>
        <w:rPr>
          <w:rFonts w:ascii="Calibri" w:cs="Calibri" w:eastAsia="Calibri" w:hAnsi="Calibri"/>
          <w:i/>
          <w:iCs/>
          <w:sz w:val="21"/>
          <w:szCs w:val="21"/>
        </w:rPr>
        <w:t xml:space="preserve">Percentages do not determine proceeds. Model this before agreeing any preference.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1445"/>
        <w:gridCol w:w="1252"/>
        <w:gridCol w:w="1349"/>
        <w:gridCol w:w="1445"/>
        <w:gridCol w:w="1349"/>
        <w:gridCol w:w="1449"/>
      </w:tblGrid>
      <w:tr>
        <w:trPr>
          <w:cantSplit/>
          <w:tblHeader/>
        </w:trPr>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Exit value</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Creditors and notes</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Preference</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To ordinary</w:t>
            </w:r>
          </w:p>
        </w:tc>
        <w:tc>
          <w:tcPr>
            <w:tcW w:type="dxa" w:w="1445"/>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Founders receive</w:t>
            </w:r>
          </w:p>
        </w:tc>
        <w:tc>
          <w:tcPr>
            <w:tcW w:type="dxa" w:w="13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Phantom payout</w:t>
            </w:r>
          </w:p>
        </w:tc>
        <w:tc>
          <w:tcPr>
            <w:tcW w:type="dxa" w:w="144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Founders as % of exit</w:t>
            </w:r>
          </w:p>
        </w:tc>
      </w:tr>
      <w:tr>
        <w:trPr>
          <w:cantSplit/>
        </w:trP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[5m]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rPr>
          <w:cantSplit/>
        </w:trP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rPr>
          <w:cantSplit/>
        </w:trP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[25m]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rPr>
          <w:cantSplit/>
        </w:trP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[50m]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r>
        <w:trPr>
          <w:cantSplit/>
        </w:trPr>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[100m]</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5"/>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3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449"/>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Reconcile to the operative record, not the spreadsheet</w:t>
      </w:r>
    </w:p>
    <w:p>
      <w:pPr>
        <w:spacing w:after="60" w:line="264"/>
        <w:jc w:val="both"/>
      </w:pPr>
      <w:r>
        <w:rPr>
          <w:rFonts w:ascii="Calibri" w:cs="Calibri" w:eastAsia="Calibri" w:hAnsi="Calibri"/>
          <w:sz w:val="19"/>
          <w:szCs w:val="19"/>
        </w:rPr>
        <w:t xml:space="preserve">For a mainland LLC, ownership is evidenced by the notarised Memorandum of Association and reflected on the trade licence. A cap table agreeing only to an internal register is agreeing to the wrong thing. For DIFC, ADGM and free zone entities, reconcile to the register that entity actually maintains.</w:t>
      </w:r>
    </w:p>
    <w:p>
      <w:pPr>
        <w:keepNext/>
        <w:spacing w:after="40" w:before="140"/>
      </w:pPr>
      <w:r>
        <w:rPr>
          <w:rFonts w:ascii="Calibri" w:cs="Calibri" w:eastAsia="Calibri" w:hAnsi="Calibri"/>
          <w:b/>
          <w:bCs/>
          <w:color w:val="14161B"/>
          <w:sz w:val="20"/>
          <w:szCs w:val="20"/>
        </w:rPr>
        <w:t xml:space="preserve">Include the ungranted pool</w:t>
      </w:r>
    </w:p>
    <w:p>
      <w:pPr>
        <w:spacing w:after="60" w:line="264"/>
        <w:jc w:val="both"/>
      </w:pPr>
      <w:r>
        <w:rPr>
          <w:rFonts w:ascii="Calibri" w:cs="Calibri" w:eastAsia="Calibri" w:hAnsi="Calibri"/>
          <w:sz w:val="19"/>
          <w:szCs w:val="19"/>
        </w:rPr>
        <w:t xml:space="preserve">Authorised-but-ungranted equity is counted by investors as though issued. Omitting it is the most common cap table error and it inflates founder percentages by exactly the margin that matters in a valuation discussion.</w:t>
      </w:r>
    </w:p>
    <w:p>
      <w:pPr>
        <w:keepNext/>
        <w:spacing w:after="40" w:before="140"/>
      </w:pPr>
      <w:r>
        <w:rPr>
          <w:rFonts w:ascii="Calibri" w:cs="Calibri" w:eastAsia="Calibri" w:hAnsi="Calibri"/>
          <w:b/>
          <w:bCs/>
          <w:color w:val="14161B"/>
          <w:sz w:val="20"/>
          <w:szCs w:val="20"/>
        </w:rPr>
        <w:t xml:space="preserve">Give phantom units their own line</w:t>
      </w:r>
    </w:p>
    <w:p>
      <w:pPr>
        <w:spacing w:after="60" w:line="264"/>
        <w:jc w:val="both"/>
      </w:pPr>
      <w:r>
        <w:rPr>
          <w:rFonts w:ascii="Calibri" w:cs="Calibri" w:eastAsia="Calibri" w:hAnsi="Calibri"/>
          <w:sz w:val="19"/>
          <w:szCs w:val="19"/>
        </w:rPr>
        <w:t xml:space="preserve">Cash-settled units confer no shares and do not dilute percentages, but they are a real claim on exit proceeds. A cap table ignoring them shows correct percentages and overstates what founders will actually receive. Model them in the waterfall.</w:t>
      </w:r>
    </w:p>
    <w:p>
      <w:pPr>
        <w:keepNext/>
        <w:spacing w:after="40" w:before="140"/>
      </w:pPr>
      <w:r>
        <w:rPr>
          <w:rFonts w:ascii="Calibri" w:cs="Calibri" w:eastAsia="Calibri" w:hAnsi="Calibri"/>
          <w:b/>
          <w:bCs/>
          <w:color w:val="14161B"/>
          <w:sz w:val="20"/>
          <w:szCs w:val="20"/>
        </w:rPr>
        <w:t xml:space="preserve">Every share movement is a filing on the mainland</w:t>
      </w:r>
    </w:p>
    <w:p>
      <w:pPr>
        <w:spacing w:after="60" w:line="264"/>
        <w:jc w:val="both"/>
      </w:pPr>
      <w:r>
        <w:rPr>
          <w:rFonts w:ascii="Calibri" w:cs="Calibri" w:eastAsia="Calibri" w:hAnsi="Calibri"/>
          <w:sz w:val="19"/>
          <w:szCs w:val="19"/>
        </w:rPr>
        <w:t xml:space="preserve">Issues, transfers, option exercises, conversions and founder buybacks all require notarisation and authority approval. Treating the cap table as an internal document that can be updated later means the operative record and the spreadsheet diverge quietly.</w:t>
      </w:r>
    </w:p>
    <w:p>
      <w:pPr>
        <w:keepNext/>
        <w:spacing w:after="40" w:before="140"/>
      </w:pPr>
      <w:r>
        <w:rPr>
          <w:rFonts w:ascii="Calibri" w:cs="Calibri" w:eastAsia="Calibri" w:hAnsi="Calibri"/>
          <w:b/>
          <w:bCs/>
          <w:color w:val="14161B"/>
          <w:sz w:val="20"/>
          <w:szCs w:val="20"/>
        </w:rPr>
        <w:t xml:space="preserve">Option exercise is a share issue</w:t>
      </w:r>
    </w:p>
    <w:p>
      <w:pPr>
        <w:spacing w:after="60" w:line="264"/>
        <w:jc w:val="both"/>
      </w:pPr>
      <w:r>
        <w:rPr>
          <w:rFonts w:ascii="Calibri" w:cs="Calibri" w:eastAsia="Calibri" w:hAnsi="Calibri"/>
          <w:sz w:val="19"/>
          <w:szCs w:val="19"/>
        </w:rPr>
        <w:t xml:space="preserve">It is not an administrative update. On the mainland it requires the same notarised process as any other issue, which is precisely why option schemes are impractical there and why phantom plans are the usual answer.</w:t>
      </w:r>
    </w:p>
    <w:p>
      <w:pPr>
        <w:keepNext/>
        <w:spacing w:after="40" w:before="140"/>
      </w:pPr>
      <w:r>
        <w:rPr>
          <w:rFonts w:ascii="Calibri" w:cs="Calibri" w:eastAsia="Calibri" w:hAnsi="Calibri"/>
          <w:b/>
          <w:bCs/>
          <w:color w:val="14161B"/>
          <w:sz w:val="20"/>
          <w:szCs w:val="20"/>
        </w:rPr>
        <w:t xml:space="preserve">Model the pool increase separately</w:t>
      </w:r>
    </w:p>
    <w:p>
      <w:pPr>
        <w:spacing w:after="60" w:line="264"/>
        <w:jc w:val="both"/>
      </w:pPr>
      <w:r>
        <w:rPr>
          <w:rFonts w:ascii="Calibri" w:cs="Calibri" w:eastAsia="Calibri" w:hAnsi="Calibri"/>
          <w:sz w:val="19"/>
          <w:szCs w:val="19"/>
        </w:rPr>
        <w:t xml:space="preserve">Section 3 shows before, after a pool increase, and after the round. Founders are usually shown only the first and last columns. Where the pool increase sits inside the pre-money, the middle column is where founder dilution happens and investor dilution does not.</w:t>
      </w:r>
    </w:p>
    <w:p>
      <w:pPr>
        <w:keepNext/>
        <w:spacing w:after="40" w:before="140"/>
      </w:pPr>
      <w:r>
        <w:rPr>
          <w:rFonts w:ascii="Calibri" w:cs="Calibri" w:eastAsia="Calibri" w:hAnsi="Calibri"/>
          <w:b/>
          <w:bCs/>
          <w:color w:val="14161B"/>
          <w:sz w:val="20"/>
          <w:szCs w:val="20"/>
        </w:rPr>
        <w:t xml:space="preserve">Model the high case for convertibles</w:t>
      </w:r>
    </w:p>
    <w:p>
      <w:pPr>
        <w:spacing w:after="60" w:line="264"/>
        <w:jc w:val="both"/>
      </w:pPr>
      <w:r>
        <w:rPr>
          <w:rFonts w:ascii="Calibri" w:cs="Calibri" w:eastAsia="Calibri" w:hAnsi="Calibri"/>
          <w:sz w:val="19"/>
          <w:szCs w:val="19"/>
        </w:rPr>
        <w:t xml:space="preserve">Where the next round prices well above the cap, early convertibles take substantially more than the headline terms suggest. Show conversion at the cap and at the expected round price, and total the aggregate across all instruments.</w:t>
      </w:r>
    </w:p>
    <w:p>
      <w:pPr>
        <w:keepNext/>
        <w:spacing w:after="40" w:before="140"/>
      </w:pPr>
      <w:r>
        <w:rPr>
          <w:rFonts w:ascii="Calibri" w:cs="Calibri" w:eastAsia="Calibri" w:hAnsi="Calibri"/>
          <w:b/>
          <w:bCs/>
          <w:color w:val="14161B"/>
          <w:sz w:val="20"/>
          <w:szCs w:val="20"/>
        </w:rPr>
        <w:t xml:space="preserve">Track undocumented promises</w:t>
      </w:r>
    </w:p>
    <w:p>
      <w:pPr>
        <w:spacing w:after="60" w:line="264"/>
        <w:jc w:val="both"/>
      </w:pPr>
      <w:r>
        <w:rPr>
          <w:rFonts w:ascii="Calibri" w:cs="Calibri" w:eastAsia="Calibri" w:hAnsi="Calibri"/>
          <w:sz w:val="19"/>
          <w:szCs w:val="19"/>
        </w:rPr>
        <w:t xml:space="preserve">Equity promised in a hiring conversation or an offer letter and never granted is a real commitment that appears in diligence and must be honoured. Keep it as a visible line rather than an unrecorded intention.</w:t>
      </w:r>
    </w:p>
    <w:p>
      <w:pPr>
        <w:keepNext/>
        <w:spacing w:after="40" w:before="140"/>
      </w:pPr>
      <w:r>
        <w:rPr>
          <w:rFonts w:ascii="Calibri" w:cs="Calibri" w:eastAsia="Calibri" w:hAnsi="Calibri"/>
          <w:b/>
          <w:bCs/>
          <w:color w:val="14161B"/>
          <w:sz w:val="20"/>
          <w:szCs w:val="20"/>
        </w:rPr>
        <w:t xml:space="preserve">Model the waterfall, not just percentages</w:t>
      </w:r>
    </w:p>
    <w:p>
      <w:pPr>
        <w:spacing w:after="60" w:line="264"/>
        <w:jc w:val="both"/>
      </w:pPr>
      <w:r>
        <w:rPr>
          <w:rFonts w:ascii="Calibri" w:cs="Calibri" w:eastAsia="Calibri" w:hAnsi="Calibri"/>
          <w:sz w:val="19"/>
          <w:szCs w:val="19"/>
        </w:rPr>
        <w:t xml:space="preserve">Liquidation preferences are paid first, and a participating preference takes both the preference and a pro rata share. At modest exit values that can leave founders and option holders with very little. Run realistic exit values, not only the optimistic one.</w:t>
      </w:r>
    </w:p>
    <w:p>
      <w:pPr>
        <w:keepNext/>
        <w:spacing w:after="40" w:before="140"/>
      </w:pPr>
      <w:r>
        <w:rPr>
          <w:rFonts w:ascii="Calibri" w:cs="Calibri" w:eastAsia="Calibri" w:hAnsi="Calibri"/>
          <w:b/>
          <w:bCs/>
          <w:color w:val="14161B"/>
          <w:sz w:val="20"/>
          <w:szCs w:val="20"/>
        </w:rPr>
        <w:t xml:space="preserve">Update the UBO register on every change</w:t>
      </w:r>
    </w:p>
    <w:p>
      <w:pPr>
        <w:spacing w:after="60" w:line="264"/>
        <w:jc w:val="both"/>
      </w:pPr>
      <w:r>
        <w:rPr>
          <w:rFonts w:ascii="Calibri" w:cs="Calibri" w:eastAsia="Calibri" w:hAnsi="Calibri"/>
          <w:sz w:val="19"/>
          <w:szCs w:val="19"/>
        </w:rPr>
        <w:t xml:space="preserve">A movement crossing the significant-interest threshold changes the registrable controller position, with a filing obligation on the change rather than at renewal. It is checked in banking and licensing, and it is routinely stale.</w:t>
      </w:r>
    </w:p>
    <w:p>
      <w:pPr>
        <w:keepNext/>
        <w:spacing w:after="40" w:before="140"/>
      </w:pPr>
      <w:r>
        <w:rPr>
          <w:rFonts w:ascii="Calibri" w:cs="Calibri" w:eastAsia="Calibri" w:hAnsi="Calibri"/>
          <w:b/>
          <w:bCs/>
          <w:color w:val="14161B"/>
          <w:sz w:val="20"/>
          <w:szCs w:val="20"/>
        </w:rPr>
        <w:t xml:space="preserve">One table, one owner</w:t>
      </w:r>
    </w:p>
    <w:p>
      <w:pPr>
        <w:spacing w:after="60" w:line="264"/>
        <w:jc w:val="both"/>
      </w:pPr>
      <w:r>
        <w:rPr>
          <w:rFonts w:ascii="Calibri" w:cs="Calibri" w:eastAsia="Calibri" w:hAnsi="Calibri"/>
          <w:sz w:val="19"/>
          <w:szCs w:val="19"/>
        </w:rPr>
        <w:t xml:space="preserve">Versions held by the founder, the finance lead and the investors diverge within months. Nominate one owner, update on every event rather than before a financing, and circulate from that source.</w:t>
      </w:r>
    </w:p>
    <w:p>
      <w:pPr>
        <w:keepNext/>
        <w:spacing w:after="40" w:before="140"/>
      </w:pPr>
      <w:r>
        <w:rPr>
          <w:rFonts w:ascii="Calibri" w:cs="Calibri" w:eastAsia="Calibri" w:hAnsi="Calibri"/>
          <w:b/>
          <w:bCs/>
          <w:color w:val="14161B"/>
          <w:sz w:val="20"/>
          <w:szCs w:val="20"/>
        </w:rPr>
        <w:t xml:space="preserve">Check classes against the constitutional document</w:t>
      </w:r>
    </w:p>
    <w:p>
      <w:pPr>
        <w:spacing w:after="60" w:line="264"/>
        <w:jc w:val="both"/>
      </w:pPr>
      <w:r>
        <w:rPr>
          <w:rFonts w:ascii="Calibri" w:cs="Calibri" w:eastAsia="Calibri" w:hAnsi="Calibri"/>
          <w:sz w:val="19"/>
          <w:szCs w:val="19"/>
        </w:rPr>
        <w:t xml:space="preserve">A cap table showing preference shares where the constitution recognises only one class means one of the two is wrong. This is common where an agreement was negotiated but the constitutional document was never amended.</w:t>
      </w:r>
    </w:p>
    <w:p>
      <w:pPr>
        <w:keepNext/>
        <w:spacing w:after="40" w:before="140"/>
      </w:pPr>
      <w:r>
        <w:rPr>
          <w:rFonts w:ascii="Calibri" w:cs="Calibri" w:eastAsia="Calibri" w:hAnsi="Calibri"/>
          <w:b/>
          <w:bCs/>
          <w:color w:val="14161B"/>
          <w:sz w:val="20"/>
          <w:szCs w:val="20"/>
        </w:rPr>
        <w:t xml:space="preserve">Keep dated historical versions</w:t>
      </w:r>
    </w:p>
    <w:p>
      <w:pPr>
        <w:spacing w:after="60" w:line="264"/>
        <w:jc w:val="both"/>
      </w:pPr>
      <w:r>
        <w:rPr>
          <w:rFonts w:ascii="Calibri" w:cs="Calibri" w:eastAsia="Calibri" w:hAnsi="Calibri"/>
          <w:sz w:val="19"/>
          <w:szCs w:val="19"/>
        </w:rPr>
        <w:t xml:space="preserve">A dated cap table at each financing, retained with the resolutions and approvals, makes future diligence straightforward and lets anyone reconstruct how the position evolved. Overwriting a single live file loses that entirely.</w:t>
      </w:r>
    </w:p>
    <w:p>
      <w:pPr>
        <w:keepNext/>
        <w:spacing w:after="40" w:before="140"/>
      </w:pPr>
      <w:r>
        <w:rPr>
          <w:rFonts w:ascii="Calibri" w:cs="Calibri" w:eastAsia="Calibri" w:hAnsi="Calibri"/>
          <w:b/>
          <w:bCs/>
          <w:color w:val="14161B"/>
          <w:sz w:val="20"/>
          <w:szCs w:val="20"/>
        </w:rPr>
        <w:t xml:space="preserve">Watch member limits and licence records</w:t>
      </w:r>
    </w:p>
    <w:p>
      <w:pPr>
        <w:spacing w:after="60" w:line="264"/>
        <w:jc w:val="both"/>
      </w:pPr>
      <w:r>
        <w:rPr>
          <w:rFonts w:ascii="Calibri" w:cs="Calibri" w:eastAsia="Calibri" w:hAnsi="Calibri"/>
          <w:sz w:val="19"/>
          <w:szCs w:val="19"/>
        </w:rPr>
        <w:t xml:space="preserve">Some entity types carry limits on the number of members, and on the mainland the shareholders are recorded on the trade licence itself. Both need checking as ownership fragments through secondary sales or option exercises.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Notarisation and approval requirements, filing deadlines, UBO obligations and free zone and financial free zone share mechanics all change — have the cap table reviewed alongside the constitutional documents before any financing.</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2026-08-23T16:28:36.010Z</dcterms:created>
  <dcterms:modified xsi:type="dcterms:W3CDTF">2026-08-23T16:28:36.010Z</dcterms:modified>
</cp:coreProperties>
</file>

<file path=docProps/custom.xml><?xml version="1.0" encoding="utf-8"?>
<Properties xmlns="http://schemas.openxmlformats.org/officeDocument/2006/custom-properties" xmlns:vt="http://schemas.openxmlformats.org/officeDocument/2006/docPropsVTypes"/>
</file>