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BUYING PROPERTY</w:t>
      </w:r>
    </w:p>
    <w:p>
      <w:pPr>
        <w:spacing w:after="260"/>
        <w:jc w:val="center"/>
      </w:pPr>
      <w:r>
        <w:rPr>
          <w:rFonts w:ascii="Calibri" w:cs="Calibri" w:eastAsia="Calibri" w:hAnsi="Calibri"/>
          <w:i/>
          <w:iCs/>
          <w:color w:val="6E7480"/>
          <w:sz w:val="19"/>
          <w:szCs w:val="19"/>
        </w:rPr>
        <w:t xml:space="preserve">Freehold, leasehold and the transfer process</w:t>
      </w:r>
    </w:p>
    <w:p>
      <w:pPr>
        <w:spacing w:after="180" w:before="0" w:line="276"/>
        <w:jc w:val="both"/>
      </w:pPr>
      <w:r>
        <w:rPr>
          <w:rFonts w:ascii="Calibri" w:cs="Calibri" w:eastAsia="Calibri" w:hAnsi="Calibri"/>
          <w:i/>
          <w:iCs/>
          <w:color w:val="6E7480"/>
          <w:sz w:val="21"/>
          <w:szCs w:val="21"/>
        </w:rPr>
        <w:t xml:space="preserve">The threshold question is </w:t>
      </w:r>
      <w:r>
        <w:rPr>
          <w:rFonts w:ascii="Calibri" w:cs="Calibri" w:eastAsia="Calibri" w:hAnsi="Calibri"/>
          <w:b/>
          <w:bCs/>
          <w:i/>
          <w:iCs/>
          <w:color w:val="6E7480"/>
          <w:sz w:val="21"/>
          <w:szCs w:val="21"/>
        </w:rPr>
        <w:t xml:space="preserve">where</w:t>
      </w:r>
      <w:r>
        <w:rPr>
          <w:rFonts w:ascii="Calibri" w:cs="Calibri" w:eastAsia="Calibri" w:hAnsi="Calibri"/>
          <w:i/>
          <w:iCs/>
          <w:color w:val="6E7480"/>
          <w:sz w:val="21"/>
          <w:szCs w:val="21"/>
        </w:rPr>
        <w:t xml:space="preserve">. Foreign nationals and foreign-owned companies may generally own freehold only in </w:t>
      </w:r>
      <w:r>
        <w:rPr>
          <w:rFonts w:ascii="Calibri" w:cs="Calibri" w:eastAsia="Calibri" w:hAnsi="Calibri"/>
          <w:b/>
          <w:bCs/>
          <w:i/>
          <w:iCs/>
          <w:color w:val="6E7480"/>
          <w:sz w:val="21"/>
          <w:szCs w:val="21"/>
        </w:rPr>
        <w:t xml:space="preserve">designated areas</w:t>
      </w:r>
      <w:r>
        <w:rPr>
          <w:rFonts w:ascii="Calibri" w:cs="Calibri" w:eastAsia="Calibri" w:hAnsi="Calibri"/>
          <w:i/>
          <w:iCs/>
          <w:color w:val="6E7480"/>
          <w:sz w:val="21"/>
          <w:szCs w:val="21"/>
        </w:rPr>
        <w:t xml:space="preserve">, and those areas differ by emirate. Everything else — financing, transfer, registration — follows from getting that right first.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cantSplit/>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Buyer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[Emirates ID / passport / licence]</w:t>
            </w:r>
            <w:r>
              <w:rPr>
                <w:rFonts w:ascii="Calibri" w:cs="Calibri" w:eastAsia="Calibri" w:hAnsi="Calibri"/>
                <w:sz w:val="19"/>
                <w:szCs w:val="19"/>
              </w:rPr>
              <w:t xml:space="preserve"> </w:t>
            </w:r>
            <w:r>
              <w:rPr>
                <w:rFonts w:ascii="Calibri" w:cs="Calibri" w:eastAsia="Calibri" w:hAnsi="Calibri"/>
                <w:b/>
                <w:bCs/>
                <w:sz w:val="19"/>
                <w:szCs w:val="19"/>
              </w:rPr>
              <w:t xml:space="preserve">[NUMBER]</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Buyer type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[UAE/GCC national / foreign individual / UAE company / foreign company]</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Seller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Property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[UNIT, BUILDING, COMMUNITY, EMIRATE]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Designated area for foreign ownership?</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 — confirm with the land department]</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Tenure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[Freehold / leasehold ____ years / usufruct]</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Status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[Ready / off-plan]</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Price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AED </w:t>
            </w:r>
            <w:r>
              <w:rPr>
                <w:rFonts w:ascii="Calibri" w:cs="Calibri" w:eastAsia="Calibri" w:hAnsi="Calibri"/>
                <w:b/>
                <w:bCs/>
                <w:sz w:val="19"/>
                <w:szCs w:val="19"/>
              </w:rPr>
              <w:t xml:space="preserve">[AMOUNT]</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Deposit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AED </w:t>
            </w:r>
            <w:r>
              <w:rPr>
                <w:rFonts w:ascii="Calibri" w:cs="Calibri" w:eastAsia="Calibri" w:hAnsi="Calibri"/>
                <w:b/>
                <w:bCs/>
                <w:sz w:val="19"/>
                <w:szCs w:val="19"/>
              </w:rPr>
              <w:t xml:space="preserve">[AMOUNT]</w:t>
            </w:r>
            <w:r>
              <w:rPr>
                <w:rFonts w:ascii="Calibri" w:cs="Calibri" w:eastAsia="Calibri" w:hAnsi="Calibri"/>
                <w:sz w:val="19"/>
                <w:szCs w:val="19"/>
              </w:rPr>
              <w:t xml:space="preserve"> — held by </w:t>
            </w:r>
            <w:r>
              <w:rPr>
                <w:rFonts w:ascii="Calibri" w:cs="Calibri" w:eastAsia="Calibri" w:hAnsi="Calibri"/>
                <w:b/>
                <w:bCs/>
                <w:sz w:val="19"/>
                <w:szCs w:val="19"/>
              </w:rPr>
              <w:t xml:space="preserve">[ESCROW / AGENT]</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Mortgage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[Bank, amount, pre-approval date]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Registration authority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[Land department]</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Target transfer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1. WHO CAN OWN WHAT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cantSplit/>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Buyer</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Generally may own</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UAE and GCC nationals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Anywhere in the emirate, subject to local rules</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Foreign individuals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Freehold in designated areas only</w:t>
            </w:r>
            <w:r>
              <w:rPr>
                <w:rFonts w:ascii="Calibri" w:cs="Calibri" w:eastAsia="Calibri" w:hAnsi="Calibri"/>
                <w:sz w:val="18"/>
                <w:szCs w:val="18"/>
              </w:rPr>
              <w:t xml:space="preserve">; leasehold or usufruct elsewhere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Companies wholly owned by UAE/GCC nationals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Treated broadly as national</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Foreign-owned UAE companies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Designated areas</w:t>
            </w:r>
            <w:r>
              <w:rPr>
                <w:rFonts w:ascii="Calibri" w:cs="Calibri" w:eastAsia="Calibri" w:hAnsi="Calibri"/>
                <w:sz w:val="18"/>
                <w:szCs w:val="18"/>
              </w:rPr>
              <w:t xml:space="preserve"> — confirm the position for the specific entity</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Free zone companies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Varies — some land departments accept them, some do not</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Offshore companies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[Only certain vehicles are accepted — confirm]</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Foreign companies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[Frequently not accepted directly]</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b/>
          <w:bCs/>
          <w:sz w:val="21"/>
          <w:szCs w:val="21"/>
        </w:rPr>
        <w:t xml:space="preserve">Confirm eligibility with the relevant land department before paying anything.</w:t>
      </w:r>
      <w:r>
        <w:rPr>
          <w:rFonts w:ascii="Calibri" w:cs="Calibri" w:eastAsia="Calibri" w:hAnsi="Calibri"/>
          <w:sz w:val="21"/>
          <w:szCs w:val="21"/>
        </w:rPr>
        <w:t xml:space="preserve"> Rules differ by emirate, change, and are applied to the specific buying entity — not to the group behind it.</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i/>
          <w:iCs/>
          <w:sz w:val="21"/>
          <w:szCs w:val="21"/>
        </w:rPr>
        <w:t xml:space="preserve">A common and expensive error is agreeing a purchase in the name of a company that turns out not to be an accepted owner, then restructuring under time pressure with a deposit already paid.</w:t>
      </w:r>
    </w:p>
    <w:p>
      <w:pPr>
        <w:keepNext/>
        <w:spacing w:after="120" w:before="280"/>
        <w:outlineLvl w:val="0"/>
      </w:pPr>
      <w:r>
        <w:rPr>
          <w:rFonts w:ascii="Calibri" w:cs="Calibri" w:eastAsia="Calibri" w:hAnsi="Calibri"/>
          <w:b/>
          <w:bCs/>
          <w:color w:val="14161B"/>
          <w:sz w:val="22"/>
          <w:szCs w:val="22"/>
        </w:rPr>
        <w:t xml:space="preserve">2. BEFORE YOU COMMIT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3469"/>
        <w:gridCol w:w="4240"/>
        <w:gridCol w:w="1544"/>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Check</w:t>
            </w:r>
          </w:p>
        </w:tc>
        <w:tc>
          <w:tcPr>
            <w:tcW w:type="dxa" w:w="42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Why</w:t>
            </w:r>
          </w:p>
        </w:tc>
        <w:tc>
          <w:tcPr>
            <w:tcW w:type="dxa" w:w="154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Done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Buyer eligible to own this property</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threshold question</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Title deed verified with the land department</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Confirms the seller actually owns it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Any mortgage or encumbrance registered against it</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Must be discharged before or at transfer</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Service charges paid up to date</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Arrears can attach</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Developer or association clearance obtainable</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Blocks transfer if not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Utilities settled and transferable</w:t>
            </w:r>
          </w:p>
        </w:tc>
        <w:tc>
          <w:tcPr>
            <w:tcW w:type="dxa" w:w="4240"/>
            <w:tcMar>
              <w:top w:type="dxa" w:w="70"/>
              <w:left w:type="dxa" w:w="100"/>
              <w:bottom w:type="dxa" w:w="70"/>
              <w:right w:type="dxa" w:w="100"/>
            </w:tcMar>
            <w:vAlign w:val="center"/>
          </w:tcPr>
          <w:p>
            <w:pPr>
              <w:spacing w:after="0" w:line="240"/>
              <w:jc w:val="left"/>
            </w:pP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Any tenant in occupation, and on what terms</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A tenancy can survive the sale</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Building condition and snagging</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Survey it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Off-plan: escrow account and developer registration</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Payments must go to escrow</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Ongoing service charge level</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 material running cost</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Mortgage pre-approval in place</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Before committing</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Total transaction cost modelled</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Fees, commission, mortgage costs</w:t>
            </w:r>
          </w:p>
        </w:tc>
        <w:tc>
          <w:tcPr>
            <w:tcW w:type="dxa" w:w="1544"/>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[Y/N]</w:t>
            </w:r>
          </w:p>
        </w:tc>
      </w:tr>
    </w:tbl>
    <w:p>
      <w:pPr>
        <w:spacing w:after="140"/>
      </w:pP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i/>
          <w:iCs/>
          <w:sz w:val="21"/>
          <w:szCs w:val="21"/>
        </w:rPr>
        <w:t xml:space="preserve">Check 7 catches investors. A tenancy in place may continue after transfer, and the buyer inherits the tenant, the rent and the notice position. Establish it before agreeing a price based on vacant possession.</w:t>
      </w:r>
    </w:p>
    <w:p>
      <w:pPr>
        <w:keepNext/>
        <w:spacing w:after="120" w:before="280"/>
        <w:outlineLvl w:val="0"/>
      </w:pPr>
      <w:r>
        <w:rPr>
          <w:rFonts w:ascii="Calibri" w:cs="Calibri" w:eastAsia="Calibri" w:hAnsi="Calibri"/>
          <w:b/>
          <w:bCs/>
          <w:color w:val="14161B"/>
          <w:sz w:val="22"/>
          <w:szCs w:val="22"/>
        </w:rPr>
        <w:t xml:space="preserve">3. THE TRANSACTION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4433"/>
        <w:gridCol w:w="4820"/>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44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Step</w:t>
            </w:r>
          </w:p>
        </w:tc>
        <w:tc>
          <w:tcPr>
            <w:tcW w:type="dxa" w:w="48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Terms agreed; sale agreement signed</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Usually the land department form</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Deposit paid — to escrow or a regulated agent</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 directly to the seller</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Buyer’s mortgage finalised</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Valuation, offer, conditions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Seller’s existing mortgage discharged</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Or settled at transfer through the process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Developer or association no-objection certificate obtained</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Requires service charges cleared</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Transfer appointment booked with the land department</w:t>
            </w:r>
          </w:p>
        </w:tc>
        <w:tc>
          <w:tcPr>
            <w:tcW w:type="dxa" w:w="4820"/>
            <w:tcMar>
              <w:top w:type="dxa" w:w="70"/>
              <w:left w:type="dxa" w:w="100"/>
              <w:bottom w:type="dxa" w:w="70"/>
              <w:right w:type="dxa" w:w="100"/>
            </w:tcMar>
            <w:vAlign w:val="center"/>
          </w:tcPr>
          <w:p>
            <w:pPr>
              <w:spacing w:after="0" w:line="240"/>
              <w:jc w:val="left"/>
            </w:pP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Both parties attend, or by attested power of attorney</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Overseas parties: three to six weeks lead time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Price paid in the required form</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Manager’s cheque is common</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Fees paid — transfer, registration, mortgage</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Confirm who bears what</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Title deed issued in the buyer’s name</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transaction completes here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Utilities transferred</w:t>
            </w:r>
          </w:p>
        </w:tc>
        <w:tc>
          <w:tcPr>
            <w:tcW w:type="dxa" w:w="4820"/>
            <w:tcMar>
              <w:top w:type="dxa" w:w="70"/>
              <w:left w:type="dxa" w:w="100"/>
              <w:bottom w:type="dxa" w:w="70"/>
              <w:right w:type="dxa" w:w="100"/>
            </w:tcMar>
            <w:vAlign w:val="center"/>
          </w:tcPr>
          <w:p>
            <w:pPr>
              <w:spacing w:after="0" w:line="240"/>
              <w:jc w:val="left"/>
            </w:pP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Tenancy registration updated where let</w:t>
            </w:r>
          </w:p>
        </w:tc>
        <w:tc>
          <w:tcPr>
            <w:tcW w:type="dxa" w:w="48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Ejari or equivalent</w:t>
            </w:r>
          </w:p>
        </w:tc>
      </w:tr>
    </w:tbl>
    <w:p>
      <w:pPr>
        <w:spacing w:after="140"/>
      </w:pP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b/>
          <w:bCs/>
          <w:sz w:val="21"/>
          <w:szCs w:val="21"/>
        </w:rPr>
        <w:t xml:space="preserve">Never pay the seller directly outside the escrow or agent arrangement.</w:t>
      </w:r>
      <w:r>
        <w:rPr>
          <w:rFonts w:ascii="Calibri" w:cs="Calibri" w:eastAsia="Calibri" w:hAnsi="Calibri"/>
          <w:sz w:val="21"/>
          <w:szCs w:val="21"/>
        </w:rPr>
        <w:t xml:space="preserve"> Deposits paid straight to a seller who then fails to complete are among the most common and least recoverable losses in this market.</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OFF-PLAN</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Off-plan purchases carry additional risk and additional protection.</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4240"/>
        <w:gridCol w:w="5013"/>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42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Check</w:t>
            </w:r>
          </w:p>
        </w:tc>
        <w:tc>
          <w:tcPr>
            <w:tcW w:type="dxa" w:w="50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Why</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Developer and project registered with the authority</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Unregistered projects are the highest risk</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Payments go into the project escrow account</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 to the developer directly</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Payment schedule tied to construction milestones</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 to dates alone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Completion date and what happens if it slips</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Remedies for delay</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Specification and finishes documented</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What is actually being bought</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Area measurement basis and tolerance</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Variance clauses can be wide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Buyer’s remedies if the developer defaults</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And the developer’s if the buyer does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Whether the contract is registered with the authority</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Interim registration protects the buyer</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Service charge estimate on handover</w:t>
            </w:r>
          </w:p>
        </w:tc>
        <w:tc>
          <w:tcPr>
            <w:tcW w:type="dxa" w:w="501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Frequently higher than indicated</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424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Handover and snagging process</w:t>
            </w:r>
          </w:p>
        </w:tc>
        <w:tc>
          <w:tcPr>
            <w:tcW w:type="dxa" w:w="5013"/>
            <w:tcMar>
              <w:top w:type="dxa" w:w="70"/>
              <w:left w:type="dxa" w:w="100"/>
              <w:bottom w:type="dxa" w:w="70"/>
              <w:right w:type="dxa" w:w="100"/>
            </w:tcMar>
            <w:vAlign w:val="center"/>
          </w:tcPr>
          <w:p>
            <w:pPr>
              <w:spacing w:after="0" w:line="240"/>
              <w:jc w:val="left"/>
            </w:pPr>
          </w:p>
        </w:tc>
      </w:tr>
    </w:tbl>
    <w:p>
      <w:pPr>
        <w:spacing w:after="140"/>
      </w:pP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i/>
          <w:iCs/>
          <w:sz w:val="21"/>
          <w:szCs w:val="21"/>
        </w:rPr>
        <w:t xml:space="preserve">Escrow is the central protection. Payments made outside it — to a developer’s general account, to an agent, in cash — lose it entirely, and buyers are sometimes encouraged to do exactly that for a discount.</w:t>
      </w:r>
    </w:p>
    <w:p>
      <w:pPr>
        <w:keepNext/>
        <w:spacing w:after="120" w:before="280"/>
        <w:outlineLvl w:val="0"/>
      </w:pPr>
      <w:r>
        <w:rPr>
          <w:rFonts w:ascii="Calibri" w:cs="Calibri" w:eastAsia="Calibri" w:hAnsi="Calibri"/>
          <w:b/>
          <w:bCs/>
          <w:color w:val="14161B"/>
          <w:sz w:val="22"/>
          <w:szCs w:val="22"/>
        </w:rPr>
        <w:t xml:space="preserve">5. OWNING IT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6747"/>
      </w:tblGrid>
      <w:tr>
        <w:trPr>
          <w:cantSplit/>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Obligation</w:t>
            </w:r>
          </w:p>
        </w:tc>
        <w:tc>
          <w:tcPr>
            <w:tcW w:type="dxa" w:w="67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Note</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Service charges</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Payable to the association; arrears can obstruct a future sale</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Association participation</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Voting and budget approval</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Letting it — tenancy registration</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Ejari or equivalent; required for the tenant and for utilities</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Rent increase framework</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Some emirates cap increases on renewal</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Short-term letting</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Requires a permit</w:t>
            </w:r>
            <w:r>
              <w:rPr>
                <w:rFonts w:ascii="Calibri" w:cs="Calibri" w:eastAsia="Calibri" w:hAnsi="Calibri"/>
                <w:sz w:val="18"/>
                <w:szCs w:val="18"/>
              </w:rPr>
              <w:t xml:space="preserve"> — unlicensed holiday letting is a contravention</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Insurance</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Contents and liability; building usually via the association</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Where owned by a company</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asset sits on the balance sheet — consider corporate tax on rental income and on disposal</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Mortgage obligations</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Default risks the property</w:t>
            </w:r>
          </w:p>
        </w:tc>
      </w:tr>
    </w:tbl>
    <w:p>
      <w:pPr>
        <w:spacing w:after="140"/>
      </w:pP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i/>
          <w:iCs/>
          <w:sz w:val="21"/>
          <w:szCs w:val="21"/>
        </w:rPr>
        <w:t xml:space="preserve">Where property is held by a company rather than an individual, rental income and any gain fall within the corporate tax analysis. Individuals holding property personally are generally outside it. That distinction should be made before buying, not after.</w:t>
      </w:r>
    </w:p>
    <w:p>
      <w:pPr>
        <w:keepNext/>
        <w:spacing w:after="120" w:before="280"/>
        <w:outlineLvl w:val="0"/>
      </w:pPr>
      <w:r>
        <w:rPr>
          <w:rFonts w:ascii="Calibri" w:cs="Calibri" w:eastAsia="Calibri" w:hAnsi="Calibri"/>
          <w:b/>
          <w:bCs/>
          <w:color w:val="14161B"/>
          <w:sz w:val="22"/>
          <w:szCs w:val="22"/>
        </w:rPr>
        <w:t xml:space="preserve">6. SELLING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7517"/>
        <w:gridCol w:w="1640"/>
      </w:tblGrid>
      <w:tr>
        <w:trPr>
          <w:cantSplit/>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751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Step</w:t>
            </w:r>
          </w:p>
        </w:tc>
        <w:tc>
          <w:tcPr>
            <w:tcW w:type="dxa" w:w="16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Done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Service charges cleared and clearance obtained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Existing mortgage settlement figure obtained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Developer or association no-objection certificate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Tenant position resolved or disclosed to the buyer</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Transfer appointment attended or POA in place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Proceeds received before the title transfers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Utilities closed and deposits recovered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Tenancy registration cancelled or transferred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Where corporately held: tax treatment of the gain considered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Confirm eligibility before paying anything</w:t>
      </w:r>
    </w:p>
    <w:p>
      <w:pPr>
        <w:spacing w:after="60" w:line="264"/>
        <w:jc w:val="both"/>
      </w:pPr>
      <w:r>
        <w:rPr>
          <w:rFonts w:ascii="Calibri" w:cs="Calibri" w:eastAsia="Calibri" w:hAnsi="Calibri"/>
          <w:sz w:val="19"/>
          <w:szCs w:val="19"/>
        </w:rPr>
        <w:t xml:space="preserve">Foreign nationals and foreign-owned companies may generally own freehold only in designated areas, and the rules differ by emirate and are applied to the specific buying entity. Agreeing a purchase in the name of an entity that turns out not to be an accepted owner, with a deposit already paid, is expensive and common.</w:t>
      </w:r>
    </w:p>
    <w:p>
      <w:pPr>
        <w:keepNext/>
        <w:spacing w:after="40" w:before="140"/>
      </w:pPr>
      <w:r>
        <w:rPr>
          <w:rFonts w:ascii="Calibri" w:cs="Calibri" w:eastAsia="Calibri" w:hAnsi="Calibri"/>
          <w:b/>
          <w:bCs/>
          <w:color w:val="14161B"/>
          <w:sz w:val="20"/>
          <w:szCs w:val="20"/>
        </w:rPr>
        <w:t xml:space="preserve">Verify the title with the land department</w:t>
      </w:r>
    </w:p>
    <w:p>
      <w:pPr>
        <w:spacing w:after="60" w:line="264"/>
        <w:jc w:val="both"/>
      </w:pPr>
      <w:r>
        <w:rPr>
          <w:rFonts w:ascii="Calibri" w:cs="Calibri" w:eastAsia="Calibri" w:hAnsi="Calibri"/>
          <w:sz w:val="19"/>
          <w:szCs w:val="19"/>
        </w:rPr>
        <w:t xml:space="preserve">Do not rely on a copy of a title deed produced by the seller or agent. Verify ownership and any registered mortgage or encumbrance directly with the land department before committing.</w:t>
      </w:r>
    </w:p>
    <w:p>
      <w:pPr>
        <w:keepNext/>
        <w:spacing w:after="40" w:before="140"/>
      </w:pPr>
      <w:r>
        <w:rPr>
          <w:rFonts w:ascii="Calibri" w:cs="Calibri" w:eastAsia="Calibri" w:hAnsi="Calibri"/>
          <w:b/>
          <w:bCs/>
          <w:color w:val="14161B"/>
          <w:sz w:val="20"/>
          <w:szCs w:val="20"/>
        </w:rPr>
        <w:t xml:space="preserve">Never pay the seller directly</w:t>
      </w:r>
    </w:p>
    <w:p>
      <w:pPr>
        <w:spacing w:after="60" w:line="264"/>
        <w:jc w:val="both"/>
      </w:pPr>
      <w:r>
        <w:rPr>
          <w:rFonts w:ascii="Calibri" w:cs="Calibri" w:eastAsia="Calibri" w:hAnsi="Calibri"/>
          <w:sz w:val="19"/>
          <w:szCs w:val="19"/>
        </w:rPr>
        <w:t xml:space="preserve">Deposits should go to escrow or a regulated agent. Money paid straight to a seller who then fails to complete is among the least recoverable losses in this market, and the request to pay directly is itself a warning sign.</w:t>
      </w:r>
    </w:p>
    <w:p>
      <w:pPr>
        <w:keepNext/>
        <w:spacing w:after="40" w:before="140"/>
      </w:pPr>
      <w:r>
        <w:rPr>
          <w:rFonts w:ascii="Calibri" w:cs="Calibri" w:eastAsia="Calibri" w:hAnsi="Calibri"/>
          <w:b/>
          <w:bCs/>
          <w:color w:val="14161B"/>
          <w:sz w:val="20"/>
          <w:szCs w:val="20"/>
        </w:rPr>
        <w:t xml:space="preserve">Escrow is the whole protection off-plan</w:t>
      </w:r>
    </w:p>
    <w:p>
      <w:pPr>
        <w:spacing w:after="60" w:line="264"/>
        <w:jc w:val="both"/>
      </w:pPr>
      <w:r>
        <w:rPr>
          <w:rFonts w:ascii="Calibri" w:cs="Calibri" w:eastAsia="Calibri" w:hAnsi="Calibri"/>
          <w:sz w:val="19"/>
          <w:szCs w:val="19"/>
        </w:rPr>
        <w:t xml:space="preserve">Payments must go into the registered project escrow account. Buyers are sometimes offered a discount for paying the developer directly, which removes the protection entirely at exactly the moment it matters.</w:t>
      </w:r>
    </w:p>
    <w:p>
      <w:pPr>
        <w:keepNext/>
        <w:spacing w:after="40" w:before="140"/>
      </w:pPr>
      <w:r>
        <w:rPr>
          <w:rFonts w:ascii="Calibri" w:cs="Calibri" w:eastAsia="Calibri" w:hAnsi="Calibri"/>
          <w:b/>
          <w:bCs/>
          <w:color w:val="14161B"/>
          <w:sz w:val="20"/>
          <w:szCs w:val="20"/>
        </w:rPr>
        <w:t xml:space="preserve">Check the project and developer are registered</w:t>
      </w:r>
    </w:p>
    <w:p>
      <w:pPr>
        <w:spacing w:after="60" w:line="264"/>
        <w:jc w:val="both"/>
      </w:pPr>
      <w:r>
        <w:rPr>
          <w:rFonts w:ascii="Calibri" w:cs="Calibri" w:eastAsia="Calibri" w:hAnsi="Calibri"/>
          <w:sz w:val="19"/>
          <w:szCs w:val="19"/>
        </w:rPr>
        <w:t xml:space="preserve">An unregistered off-plan project is the highest-risk purchase available in this market. Confirm registration with the authority before signing anything, not after paying a reservation fee.</w:t>
      </w:r>
    </w:p>
    <w:p>
      <w:pPr>
        <w:keepNext/>
        <w:spacing w:after="40" w:before="140"/>
      </w:pPr>
      <w:r>
        <w:rPr>
          <w:rFonts w:ascii="Calibri" w:cs="Calibri" w:eastAsia="Calibri" w:hAnsi="Calibri"/>
          <w:b/>
          <w:bCs/>
          <w:color w:val="14161B"/>
          <w:sz w:val="20"/>
          <w:szCs w:val="20"/>
        </w:rPr>
        <w:t xml:space="preserve">Tie off-plan payments to construction, not dates</w:t>
      </w:r>
    </w:p>
    <w:p>
      <w:pPr>
        <w:spacing w:after="60" w:line="264"/>
        <w:jc w:val="both"/>
      </w:pPr>
      <w:r>
        <w:rPr>
          <w:rFonts w:ascii="Calibri" w:cs="Calibri" w:eastAsia="Calibri" w:hAnsi="Calibri"/>
          <w:sz w:val="19"/>
          <w:szCs w:val="19"/>
        </w:rPr>
        <w:t xml:space="preserve">A schedule tied to milestones aligns the buyer’s exposure with actual progress. One tied to calendar dates alone means paying for a building that may not be advancing.</w:t>
      </w:r>
    </w:p>
    <w:p>
      <w:pPr>
        <w:keepNext/>
        <w:spacing w:after="40" w:before="140"/>
      </w:pPr>
      <w:r>
        <w:rPr>
          <w:rFonts w:ascii="Calibri" w:cs="Calibri" w:eastAsia="Calibri" w:hAnsi="Calibri"/>
          <w:b/>
          <w:bCs/>
          <w:color w:val="14161B"/>
          <w:sz w:val="20"/>
          <w:szCs w:val="20"/>
        </w:rPr>
        <w:t xml:space="preserve">A tenancy can survive the sale</w:t>
      </w:r>
    </w:p>
    <w:p>
      <w:pPr>
        <w:spacing w:after="60" w:line="264"/>
        <w:jc w:val="both"/>
      </w:pPr>
      <w:r>
        <w:rPr>
          <w:rFonts w:ascii="Calibri" w:cs="Calibri" w:eastAsia="Calibri" w:hAnsi="Calibri"/>
          <w:sz w:val="19"/>
          <w:szCs w:val="19"/>
        </w:rPr>
        <w:t xml:space="preserve">A tenant in occupation may continue after transfer, with the buyer inheriting the tenant, the rent and the notice position. Establish this before agreeing a price based on vacant possession.</w:t>
      </w:r>
    </w:p>
    <w:p>
      <w:pPr>
        <w:keepNext/>
        <w:spacing w:after="40" w:before="140"/>
      </w:pPr>
      <w:r>
        <w:rPr>
          <w:rFonts w:ascii="Calibri" w:cs="Calibri" w:eastAsia="Calibri" w:hAnsi="Calibri"/>
          <w:b/>
          <w:bCs/>
          <w:color w:val="14161B"/>
          <w:sz w:val="20"/>
          <w:szCs w:val="20"/>
        </w:rPr>
        <w:t xml:space="preserve">Service charge arrears obstruct transfer</w:t>
      </w:r>
    </w:p>
    <w:p>
      <w:pPr>
        <w:spacing w:after="60" w:line="264"/>
        <w:jc w:val="both"/>
      </w:pPr>
      <w:r>
        <w:rPr>
          <w:rFonts w:ascii="Calibri" w:cs="Calibri" w:eastAsia="Calibri" w:hAnsi="Calibri"/>
          <w:sz w:val="19"/>
          <w:szCs w:val="19"/>
        </w:rPr>
        <w:t xml:space="preserve">Clearance from the developer or owners’ association is generally required, and it depends on charges being paid up to date. Arrears attaching to the property become the buyer’s problem or the seller’s delay.</w:t>
      </w:r>
    </w:p>
    <w:p>
      <w:pPr>
        <w:keepNext/>
        <w:spacing w:after="40" w:before="140"/>
      </w:pPr>
      <w:r>
        <w:rPr>
          <w:rFonts w:ascii="Calibri" w:cs="Calibri" w:eastAsia="Calibri" w:hAnsi="Calibri"/>
          <w:b/>
          <w:bCs/>
          <w:color w:val="14161B"/>
          <w:sz w:val="20"/>
          <w:szCs w:val="20"/>
        </w:rPr>
        <w:t xml:space="preserve">Model the total transaction cost</w:t>
      </w:r>
    </w:p>
    <w:p>
      <w:pPr>
        <w:spacing w:after="60" w:line="264"/>
        <w:jc w:val="both"/>
      </w:pPr>
      <w:r>
        <w:rPr>
          <w:rFonts w:ascii="Calibri" w:cs="Calibri" w:eastAsia="Calibri" w:hAnsi="Calibri"/>
          <w:sz w:val="19"/>
          <w:szCs w:val="19"/>
        </w:rPr>
        <w:t xml:space="preserve">Transfer and registration fees, agent commission, mortgage registration and arrangement fees, and valuation all add materially to the headline price. Confirm who bears each before agreeing terms.</w:t>
      </w:r>
    </w:p>
    <w:p>
      <w:pPr>
        <w:keepNext/>
        <w:spacing w:after="40" w:before="140"/>
      </w:pPr>
      <w:r>
        <w:rPr>
          <w:rFonts w:ascii="Calibri" w:cs="Calibri" w:eastAsia="Calibri" w:hAnsi="Calibri"/>
          <w:b/>
          <w:bCs/>
          <w:color w:val="14161B"/>
          <w:sz w:val="20"/>
          <w:szCs w:val="20"/>
        </w:rPr>
        <w:t xml:space="preserve">Overseas parties need attested powers of attorney</w:t>
      </w:r>
    </w:p>
    <w:p>
      <w:pPr>
        <w:spacing w:after="60" w:line="264"/>
        <w:jc w:val="both"/>
      </w:pPr>
      <w:r>
        <w:rPr>
          <w:rFonts w:ascii="Calibri" w:cs="Calibri" w:eastAsia="Calibri" w:hAnsi="Calibri"/>
          <w:sz w:val="19"/>
          <w:szCs w:val="19"/>
        </w:rPr>
        <w:t xml:space="preserve">A buyer or seller who cannot attend the transfer appointment needs a power of attorney notarised abroad, legalised through the UAE embassy and attested by the Ministry of Foreign Affairs. Three to six weeks — start it before booking the appointment.</w:t>
      </w:r>
    </w:p>
    <w:p>
      <w:pPr>
        <w:keepNext/>
        <w:spacing w:after="40" w:before="140"/>
      </w:pPr>
      <w:r>
        <w:rPr>
          <w:rFonts w:ascii="Calibri" w:cs="Calibri" w:eastAsia="Calibri" w:hAnsi="Calibri"/>
          <w:b/>
          <w:bCs/>
          <w:color w:val="14161B"/>
          <w:sz w:val="20"/>
          <w:szCs w:val="20"/>
        </w:rPr>
        <w:t xml:space="preserve">Short-term letting needs a permit</w:t>
      </w:r>
    </w:p>
    <w:p>
      <w:pPr>
        <w:spacing w:after="60" w:line="264"/>
        <w:jc w:val="both"/>
      </w:pPr>
      <w:r>
        <w:rPr>
          <w:rFonts w:ascii="Calibri" w:cs="Calibri" w:eastAsia="Calibri" w:hAnsi="Calibri"/>
          <w:sz w:val="19"/>
          <w:szCs w:val="19"/>
        </w:rPr>
        <w:t xml:space="preserve">Holiday or short-term letting is regulated and requires a permit in the relevant emirate. Unlicensed short-term letting is a contravention and can also breach the association rules and the mortgage terms.</w:t>
      </w:r>
    </w:p>
    <w:p>
      <w:pPr>
        <w:keepNext/>
        <w:spacing w:after="40" w:before="140"/>
      </w:pPr>
      <w:r>
        <w:rPr>
          <w:rFonts w:ascii="Calibri" w:cs="Calibri" w:eastAsia="Calibri" w:hAnsi="Calibri"/>
          <w:b/>
          <w:bCs/>
          <w:color w:val="14161B"/>
          <w:sz w:val="20"/>
          <w:szCs w:val="20"/>
        </w:rPr>
        <w:t xml:space="preserve">Corporate ownership changes the tax analysis</w:t>
      </w:r>
    </w:p>
    <w:p>
      <w:pPr>
        <w:spacing w:after="60" w:line="264"/>
        <w:jc w:val="both"/>
      </w:pPr>
      <w:r>
        <w:rPr>
          <w:rFonts w:ascii="Calibri" w:cs="Calibri" w:eastAsia="Calibri" w:hAnsi="Calibri"/>
          <w:sz w:val="19"/>
          <w:szCs w:val="19"/>
        </w:rPr>
        <w:t xml:space="preserve">Where property is held by a company, rental income and gains fall within the corporate tax analysis; an individual holding personally is generally outside it. Decide the holding structure before buying, with advice, rather than restructuring later.</w:t>
      </w:r>
    </w:p>
    <w:p>
      <w:pPr>
        <w:keepNext/>
        <w:spacing w:after="40" w:before="140"/>
      </w:pPr>
      <w:r>
        <w:rPr>
          <w:rFonts w:ascii="Calibri" w:cs="Calibri" w:eastAsia="Calibri" w:hAnsi="Calibri"/>
          <w:b/>
          <w:bCs/>
          <w:color w:val="14161B"/>
          <w:sz w:val="20"/>
          <w:szCs w:val="20"/>
        </w:rPr>
        <w:t xml:space="preserve">Check the rent increase framework before modelling returns</w:t>
      </w:r>
    </w:p>
    <w:p>
      <w:pPr>
        <w:spacing w:after="60" w:line="264"/>
        <w:jc w:val="both"/>
      </w:pPr>
      <w:r>
        <w:rPr>
          <w:rFonts w:ascii="Calibri" w:cs="Calibri" w:eastAsia="Calibri" w:hAnsi="Calibri"/>
          <w:sz w:val="19"/>
          <w:szCs w:val="19"/>
        </w:rPr>
        <w:t xml:space="preserve">Some emirates operate frameworks limiting increases on renewal, and notice requirements for changing terms can be statutory. An investment case built on unrestricted rent growth may not survive contact with the rules.</w:t>
      </w:r>
    </w:p>
    <w:p>
      <w:pPr>
        <w:keepNext/>
        <w:spacing w:after="40" w:before="140"/>
      </w:pPr>
      <w:r>
        <w:rPr>
          <w:rFonts w:ascii="Calibri" w:cs="Calibri" w:eastAsia="Calibri" w:hAnsi="Calibri"/>
          <w:b/>
          <w:bCs/>
          <w:color w:val="14161B"/>
          <w:sz w:val="20"/>
          <w:szCs w:val="20"/>
        </w:rPr>
        <w:t xml:space="preserve">Survey it, including off-plan on handover</w:t>
      </w:r>
    </w:p>
    <w:p>
      <w:pPr>
        <w:spacing w:after="60" w:line="264"/>
        <w:jc w:val="both"/>
      </w:pPr>
      <w:r>
        <w:rPr>
          <w:rFonts w:ascii="Calibri" w:cs="Calibri" w:eastAsia="Calibri" w:hAnsi="Calibri"/>
          <w:sz w:val="19"/>
          <w:szCs w:val="19"/>
        </w:rPr>
        <w:t xml:space="preserve">A snagging survey before accepting handover, and a condition survey on a resale, both cost little against the purchase price. Defects accepted at handover become the buyer’s.</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law and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Designated areas for foreign ownership, eligible owning entities, escrow and off-plan requirements, transfer fees, rent frameworks, short-term letting permits and the tax treatment of property income all differ by emirate and change — confirm with the relevant land department and take UAE legal and tax advice before committing.</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2026-08-23T16:28:32.617Z</dcterms:created>
  <dcterms:modified xsi:type="dcterms:W3CDTF">2026-08-23T16:28:32.617Z</dcterms:modified>
</cp:coreProperties>
</file>

<file path=docProps/custom.xml><?xml version="1.0" encoding="utf-8"?>
<Properties xmlns="http://schemas.openxmlformats.org/officeDocument/2006/custom-properties" xmlns:vt="http://schemas.openxmlformats.org/officeDocument/2006/docPropsVTypes"/>
</file>