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BUSINESS TRAVEL</w:t>
      </w:r>
    </w:p>
    <w:p>
      <w:pPr>
        <w:spacing w:after="260"/>
        <w:jc w:val="center"/>
      </w:pPr>
      <w:r>
        <w:rPr>
          <w:rFonts w:ascii="Calibri" w:cs="Calibri" w:eastAsia="Calibri" w:hAnsi="Calibri"/>
          <w:i/>
          <w:iCs/>
          <w:color w:val="6E7480"/>
          <w:sz w:val="19"/>
          <w:szCs w:val="19"/>
        </w:rPr>
        <w:t xml:space="preserve">Approval, safety and the tax consequences of working abroad</w:t>
      </w:r>
    </w:p>
    <w:p>
      <w:pPr>
        <w:spacing w:after="180" w:before="0" w:line="276"/>
        <w:jc w:val="both"/>
      </w:pPr>
      <w:r>
        <w:rPr>
          <w:rFonts w:ascii="Calibri" w:cs="Calibri" w:eastAsia="Calibri" w:hAnsi="Calibri"/>
          <w:i/>
          <w:iCs/>
          <w:color w:val="6E7480"/>
          <w:sz w:val="21"/>
          <w:szCs w:val="21"/>
        </w:rPr>
        <w:t xml:space="preserve">A travel policy looks administrative and is not. </w:t>
      </w:r>
      <w:r>
        <w:rPr>
          <w:rFonts w:ascii="Calibri" w:cs="Calibri" w:eastAsia="Calibri" w:hAnsi="Calibri"/>
          <w:b/>
          <w:bCs/>
          <w:i/>
          <w:iCs/>
          <w:color w:val="6E7480"/>
          <w:sz w:val="21"/>
          <w:szCs w:val="21"/>
        </w:rPr>
        <w:t xml:space="preserve">An employee working from another country can create tax presence for the company</w:t>
      </w:r>
      <w:r>
        <w:rPr>
          <w:rFonts w:ascii="Calibri" w:cs="Calibri" w:eastAsia="Calibri" w:hAnsi="Calibri"/>
          <w:i/>
          <w:iCs/>
          <w:color w:val="6E7480"/>
          <w:sz w:val="21"/>
          <w:szCs w:val="21"/>
        </w:rPr>
        <w:t xml:space="preserve">, attract local employment obligations, breach that country’s immigration rules on a business visa, and — if the absence is long — affect their own UAE residence. Approve trips knowing that.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662"/>
        <w:gridCol w:w="5976"/>
      </w:tblGrid>
      <w:tr>
        <w:trPr>
          <w:cantSplit/>
          <w:tblHeader/>
        </w:trPr>
        <w:tc>
          <w:tcPr>
            <w:tcW w:type="dxa" w:w="36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59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Company</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w:t>
            </w:r>
            <w:r>
              <w:rPr>
                <w:rFonts w:ascii="Calibri" w:cs="Calibri" w:eastAsia="Calibri" w:hAnsi="Calibri"/>
                <w:b/>
                <w:bCs/>
                <w:sz w:val="19"/>
                <w:szCs w:val="19"/>
              </w:rPr>
              <w:t xml:space="preserve">[licence]</w:t>
            </w:r>
            <w:r>
              <w:rPr>
                <w:rFonts w:ascii="Calibri" w:cs="Calibri" w:eastAsia="Calibri" w:hAnsi="Calibri"/>
                <w:sz w:val="19"/>
                <w:szCs w:val="19"/>
              </w:rPr>
              <w:t xml:space="preserve"> </w:t>
            </w:r>
            <w:r>
              <w:rPr>
                <w:rFonts w:ascii="Calibri" w:cs="Calibri" w:eastAsia="Calibri" w:hAnsi="Calibri"/>
                <w:b/>
                <w:bCs/>
                <w:sz w:val="19"/>
                <w:szCs w:val="19"/>
              </w:rPr>
              <w:t xml:space="preserve">[NUMBER]</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Approver</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[ROLE]</w:t>
            </w:r>
            <w:r>
              <w:rPr>
                <w:rFonts w:ascii="Calibri" w:cs="Calibri" w:eastAsia="Calibri" w:hAnsi="Calibri"/>
                <w:sz w:val="19"/>
                <w:szCs w:val="19"/>
              </w:rPr>
              <w:t xml:space="preserve"> — </w:t>
            </w:r>
            <w:r>
              <w:rPr>
                <w:rFonts w:ascii="Calibri" w:cs="Calibri" w:eastAsia="Calibri" w:hAnsi="Calibri"/>
                <w:b/>
                <w:bCs/>
                <w:sz w:val="19"/>
                <w:szCs w:val="19"/>
              </w:rPr>
              <w:t xml:space="preserve">[higher approval above AED ______]</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Booked through</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[AGENT / SYSTEM]</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Travel insurance</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[INSURER]</w:t>
            </w:r>
            <w:r>
              <w:rPr>
                <w:rFonts w:ascii="Calibri" w:cs="Calibri" w:eastAsia="Calibri" w:hAnsi="Calibri"/>
                <w:sz w:val="19"/>
                <w:szCs w:val="19"/>
              </w:rPr>
              <w:t xml:space="preserve">, policy </w:t>
            </w:r>
            <w:r>
              <w:rPr>
                <w:rFonts w:ascii="Calibri" w:cs="Calibri" w:eastAsia="Calibri" w:hAnsi="Calibri"/>
                <w:b/>
                <w:bCs/>
                <w:sz w:val="19"/>
                <w:szCs w:val="19"/>
              </w:rPr>
              <w:t xml:space="preserve">[NUMBER]</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Emergency contact, 24 hours</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[PHONE]</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Expense claims through</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[SYSTEM]</w:t>
            </w:r>
            <w:r>
              <w:rPr>
                <w:rFonts w:ascii="Calibri" w:cs="Calibri" w:eastAsia="Calibri" w:hAnsi="Calibri"/>
                <w:sz w:val="19"/>
                <w:szCs w:val="19"/>
              </w:rPr>
              <w:t xml:space="preserve">, within </w:t>
            </w:r>
            <w:r>
              <w:rPr>
                <w:rFonts w:ascii="Calibri" w:cs="Calibri" w:eastAsia="Calibri" w:hAnsi="Calibri"/>
                <w:b/>
                <w:bCs/>
                <w:sz w:val="19"/>
                <w:szCs w:val="19"/>
              </w:rPr>
              <w:t xml:space="preserve">[30]</w:t>
            </w:r>
            <w:r>
              <w:rPr>
                <w:rFonts w:ascii="Calibri" w:cs="Calibri" w:eastAsia="Calibri" w:hAnsi="Calibri"/>
                <w:sz w:val="19"/>
                <w:szCs w:val="19"/>
              </w:rPr>
              <w:t xml:space="preserve"> days</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Extended or repeat travel reviewed by</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[ROLE]</w:t>
            </w:r>
            <w:r>
              <w:rPr>
                <w:rFonts w:ascii="Calibri" w:cs="Calibri" w:eastAsia="Calibri" w:hAnsi="Calibri"/>
                <w:sz w:val="19"/>
                <w:szCs w:val="19"/>
              </w:rPr>
              <w:t xml:space="preserve"> — tax and immigration</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Version and date</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sz w:val="19"/>
                <w:szCs w:val="19"/>
              </w:rPr>
              <w:t xml:space="preserve">, </w:t>
            </w:r>
            <w:r>
              <w:rPr>
                <w:rFonts w:ascii="Calibri" w:cs="Calibri" w:eastAsia="Calibri" w:hAnsi="Calibri"/>
                <w:b/>
                <w:bCs/>
                <w:sz w:val="19"/>
                <w:szCs w:val="19"/>
              </w:rPr>
              <w:t xml:space="preserve">[DATE]</w:t>
            </w:r>
          </w:p>
        </w:tc>
      </w:tr>
    </w:tbl>
    <w:p>
      <w:pPr>
        <w:spacing w:after="180"/>
      </w:pPr>
    </w:p>
    <w:p>
      <w:pPr>
        <w:keepNext/>
        <w:spacing w:after="120" w:before="280"/>
        <w:outlineLvl w:val="0"/>
      </w:pPr>
      <w:r>
        <w:rPr>
          <w:rFonts w:ascii="Calibri" w:cs="Calibri" w:eastAsia="Calibri" w:hAnsi="Calibri"/>
          <w:b/>
          <w:bCs/>
          <w:color w:val="14161B"/>
          <w:sz w:val="22"/>
          <w:szCs w:val="22"/>
        </w:rPr>
        <w:t xml:space="preserve">1. BEFORE APPROVING</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4240"/>
        <w:gridCol w:w="5013"/>
      </w:tblGrid>
      <w:tr>
        <w:trPr>
          <w:cantSplit/>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42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Question</w:t>
            </w:r>
          </w:p>
        </w:tc>
        <w:tc>
          <w:tcPr>
            <w:tcW w:type="dxa" w:w="501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Why it matters</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Is the trip necessary, or would a call do?</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Cost and time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Correct visa for the destination, and does it permit the activity?</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 business visa rarely permits performing work</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How long, and how often to the same country?</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Repeat visits accumulate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Could this create a taxable presence for the Company?</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Permanent establishment risk</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Could local employment or social security obligations attach?</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Frequently overlooked</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Will they access Company personal data from there?</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 cross-border transfer</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Does the destination present a security or health risk?</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Duty of care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Is the employee’s UAE residence unaffected?</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Extended absence can matter</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9</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Insurance covers the destination and the activity?</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Check, do not assume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10</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Approved within the authority limits?</w:t>
            </w:r>
          </w:p>
        </w:tc>
        <w:tc>
          <w:tcPr>
            <w:tcW w:type="dxa" w:w="5013"/>
            <w:tcMar>
              <w:top w:type="dxa" w:w="70"/>
              <w:left w:type="dxa" w:w="100"/>
              <w:bottom w:type="dxa" w:w="70"/>
              <w:right w:type="dxa" w:w="100"/>
            </w:tcMar>
            <w:vAlign w:val="center"/>
          </w:tcPr>
          <w:p>
            <w:pPr>
              <w:spacing w:after="0" w:line="240"/>
              <w:jc w:val="left"/>
            </w:pPr>
          </w:p>
        </w:tc>
      </w:tr>
    </w:tbl>
    <w:p>
      <w:pPr>
        <w:spacing w:after="140"/>
      </w:pP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b/>
          <w:bCs/>
          <w:sz w:val="21"/>
          <w:szCs w:val="21"/>
        </w:rPr>
        <w:t xml:space="preserve">A business visitor visa generally permits meetings, not performing services.</w:t>
      </w:r>
      <w:r>
        <w:rPr>
          <w:rFonts w:ascii="Calibri" w:cs="Calibri" w:eastAsia="Calibri" w:hAnsi="Calibri"/>
          <w:sz w:val="21"/>
          <w:szCs w:val="21"/>
        </w:rPr>
        <w:t xml:space="preserve"> An employee delivering a project, providing training or working at a client site abroad may need a work authorisation in that country, and the company may be exposed alongside them.</w:t>
      </w:r>
    </w:p>
    <w:p>
      <w:pPr>
        <w:keepNext/>
        <w:spacing w:after="120" w:before="280"/>
        <w:outlineLvl w:val="0"/>
      </w:pPr>
      <w:r>
        <w:rPr>
          <w:rFonts w:ascii="Calibri" w:cs="Calibri" w:eastAsia="Calibri" w:hAnsi="Calibri"/>
          <w:b/>
          <w:bCs/>
          <w:color w:val="14161B"/>
          <w:sz w:val="22"/>
          <w:szCs w:val="22"/>
        </w:rPr>
        <w:t xml:space="preserve">2. WORKING FROM ANOTHER COUNTRY</w:t>
      </w: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sz w:val="21"/>
          <w:szCs w:val="21"/>
        </w:rPr>
        <w:t xml:space="preserve">Short business trips and remote working from abroad are different things with different consequences.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276"/>
        <w:gridCol w:w="1927"/>
        <w:gridCol w:w="4435"/>
      </w:tblGrid>
      <w:tr>
        <w:trPr>
          <w:cantSplit/>
          <w:tblHeader/>
        </w:trPr>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Pattern</w:t>
            </w:r>
          </w:p>
        </w:tc>
        <w:tc>
          <w:tcPr>
            <w:tcW w:type="dxa" w:w="192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Risk level</w:t>
            </w:r>
          </w:p>
        </w:tc>
        <w:tc>
          <w:tcPr>
            <w:tcW w:type="dxa" w:w="443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Action</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 few days of meetings, occasionally</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[Low]</w:t>
            </w:r>
          </w:p>
        </w:tc>
        <w:tc>
          <w:tcPr>
            <w:tcW w:type="dxa" w:w="443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Standard approval</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Repeated short visits to the same country</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[Rising]</w:t>
            </w:r>
          </w:p>
        </w:tc>
        <w:tc>
          <w:tcPr>
            <w:tcW w:type="dxa" w:w="443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Track cumulative days</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 project delivered at a client site abroad</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[Material]</w:t>
            </w:r>
          </w:p>
        </w:tc>
        <w:tc>
          <w:tcPr>
            <w:tcW w:type="dxa" w:w="443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Check work authorisation and PE risk</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Working remotely from abroad for weeks</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[High]</w:t>
            </w:r>
          </w:p>
        </w:tc>
        <w:tc>
          <w:tcPr>
            <w:tcW w:type="dxa" w:w="443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Take tax and immigration advice first</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An employee relocating and working remotely</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[Highest]</w:t>
            </w:r>
          </w:p>
        </w:tc>
        <w:tc>
          <w:tcPr>
            <w:tcW w:type="dxa" w:w="443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Treat as a structural decision, not a travel request</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Attending an exhibition or conference</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[Low]</w:t>
            </w:r>
          </w:p>
        </w:tc>
        <w:tc>
          <w:tcPr>
            <w:tcW w:type="dxa" w:w="443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Check whether selling requires authorisation</w:t>
            </w:r>
          </w:p>
        </w:tc>
      </w:tr>
    </w:tbl>
    <w:p>
      <w:pPr>
        <w:spacing w:after="140"/>
      </w:pP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b/>
          <w:bCs/>
          <w:sz w:val="21"/>
          <w:szCs w:val="21"/>
        </w:rPr>
        <w:t xml:space="preserve">Track cumulative days per country per person.</w:t>
      </w:r>
      <w:r>
        <w:rPr>
          <w:rFonts w:ascii="Calibri" w:cs="Calibri" w:eastAsia="Calibri" w:hAnsi="Calibri"/>
          <w:sz w:val="21"/>
          <w:szCs w:val="21"/>
        </w:rPr>
        <w:t xml:space="preserve"> Presence thresholds are usually counted across a rolling period, and no single trip triggers them — which is exactly why nobody notices until one does.</w:t>
      </w:r>
    </w:p>
    <w:p>
      <w:pPr>
        <w:spacing w:after="120" w:before="60" w:line="276"/>
        <w:ind w:left="720" w:hanging="720"/>
        <w:jc w:val="both"/>
      </w:pPr>
      <w:r>
        <w:rPr>
          <w:rFonts w:ascii="Calibri" w:cs="Calibri" w:eastAsia="Calibri" w:hAnsi="Calibri"/>
          <w:sz w:val="21"/>
          <w:szCs w:val="21"/>
        </w:rPr>
        <w:t xml:space="preserve">2.3	</w:t>
      </w:r>
      <w:r>
        <w:rPr>
          <w:rFonts w:ascii="Calibri" w:cs="Calibri" w:eastAsia="Calibri" w:hAnsi="Calibri"/>
          <w:i/>
          <w:iCs/>
          <w:sz w:val="21"/>
          <w:szCs w:val="21"/>
        </w:rPr>
        <w:t xml:space="preserve">"Can I work from my home country for a couple of months?" is the most common version of this and the one with the most disproportionate consequences. It is not a travel approval; it is a tax, immigration and employment law question.</w:t>
      </w:r>
    </w:p>
    <w:p>
      <w:pPr>
        <w:keepNext/>
        <w:spacing w:after="120" w:before="280"/>
        <w:outlineLvl w:val="0"/>
      </w:pPr>
      <w:r>
        <w:rPr>
          <w:rFonts w:ascii="Calibri" w:cs="Calibri" w:eastAsia="Calibri" w:hAnsi="Calibri"/>
          <w:b/>
          <w:bCs/>
          <w:color w:val="14161B"/>
          <w:sz w:val="22"/>
          <w:szCs w:val="22"/>
        </w:rPr>
        <w:t xml:space="preserve">3. BOOKING AND COST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5"/>
        <w:gridCol w:w="5783"/>
      </w:tblGrid>
      <w:tr>
        <w:trPr>
          <w:cantSplit/>
          <w:tblHeader/>
        </w:trPr>
        <w:tc>
          <w:tcPr>
            <w:tcW w:type="dxa" w:w="385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Item</w:t>
            </w:r>
          </w:p>
        </w:tc>
        <w:tc>
          <w:tcPr>
            <w:tcW w:type="dxa" w:w="578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Standard</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Flights</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[Economy under ______ hours; business above]</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Booking lead time</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[At least ______ days where practicable]</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Accommodation</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[Up to AED ______ per night, by city]</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Meals</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[Actual cost up to AED ______ per day, receipted]</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Local transport</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Actual cost</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Entertainment of clients while travelling</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 the client and purpose</w:t>
            </w:r>
            <w:r>
              <w:rPr>
                <w:rFonts w:ascii="Calibri" w:cs="Calibri" w:eastAsia="Calibri" w:hAnsi="Calibri"/>
                <w:sz w:val="18"/>
                <w:szCs w:val="18"/>
              </w:rPr>
              <w:t xml:space="preserve"> — VAT generally blocked</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Personal extensions to a trip</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Permitted at the employee’s own cost, with approval</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Companion travel</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[Not funded]</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Airline and hotel loyalty points</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[Retained by the employee]</w:t>
            </w:r>
          </w:p>
        </w:tc>
      </w:tr>
    </w:tbl>
    <w:p>
      <w:pPr>
        <w:spacing w:after="140"/>
      </w:pP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b/>
          <w:bCs/>
          <w:sz w:val="21"/>
          <w:szCs w:val="21"/>
        </w:rPr>
        <w:t xml:space="preserve">Input VAT on foreign expenditure is generally not recoverable through the UAE return</w:t>
      </w:r>
      <w:r>
        <w:rPr>
          <w:rFonts w:ascii="Calibri" w:cs="Calibri" w:eastAsia="Calibri" w:hAnsi="Calibri"/>
          <w:sz w:val="21"/>
          <w:szCs w:val="21"/>
        </w:rPr>
        <w:t xml:space="preserve">, and entertainment is blocked in any event. Code travel expenditure so it is excluded from recovery by default rather than corrected later.</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sz w:val="21"/>
          <w:szCs w:val="21"/>
        </w:rPr>
        <w:t xml:space="preserve">Claims are submitted within </w:t>
      </w:r>
      <w:r>
        <w:rPr>
          <w:rFonts w:ascii="Calibri" w:cs="Calibri" w:eastAsia="Calibri" w:hAnsi="Calibri"/>
          <w:b/>
          <w:bCs/>
          <w:sz w:val="21"/>
          <w:szCs w:val="21"/>
        </w:rPr>
        <w:t xml:space="preserve">[30]</w:t>
      </w:r>
      <w:r>
        <w:rPr>
          <w:rFonts w:ascii="Calibri" w:cs="Calibri" w:eastAsia="Calibri" w:hAnsi="Calibri"/>
          <w:sz w:val="21"/>
          <w:szCs w:val="21"/>
        </w:rPr>
        <w:t xml:space="preserve"> days with </w:t>
      </w:r>
      <w:r>
        <w:rPr>
          <w:rFonts w:ascii="Calibri" w:cs="Calibri" w:eastAsia="Calibri" w:hAnsi="Calibri"/>
          <w:b/>
          <w:bCs/>
          <w:sz w:val="21"/>
          <w:szCs w:val="21"/>
        </w:rPr>
        <w:t xml:space="preserve">valid tax invoices</w:t>
      </w:r>
      <w:r>
        <w:rPr>
          <w:rFonts w:ascii="Calibri" w:cs="Calibri" w:eastAsia="Calibri" w:hAnsi="Calibri"/>
          <w:sz w:val="21"/>
          <w:szCs w:val="21"/>
        </w:rPr>
        <w:t xml:space="preserve"> where the expenditure is local. A card slip is not a tax invoice.</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4. SAFETY AND DUTY OF CARE</w:t>
      </w: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sz w:val="21"/>
          <w:szCs w:val="21"/>
        </w:rPr>
        <w:t xml:space="preserve">The Company owes a duty of care to employees travelling on its business.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4626"/>
        <w:gridCol w:w="4627"/>
      </w:tblGrid>
      <w:tr>
        <w:trPr>
          <w:cantSplit/>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462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Requirement</w:t>
            </w:r>
          </w:p>
        </w:tc>
        <w:tc>
          <w:tcPr>
            <w:tcW w:type="dxa" w:w="462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Itinerary and contact details recorded before departure</w:t>
            </w:r>
          </w:p>
        </w:tc>
        <w:tc>
          <w:tcPr>
            <w:tcW w:type="dxa" w:w="46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So the Company knows where people are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Travel insurance in force, covering the destination and activity</w:t>
            </w:r>
          </w:p>
        </w:tc>
        <w:tc>
          <w:tcPr>
            <w:tcW w:type="dxa" w:w="46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Check exclusions</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Destination risk assessed for security and health</w:t>
            </w:r>
          </w:p>
        </w:tc>
        <w:tc>
          <w:tcPr>
            <w:tcW w:type="dxa" w:w="46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Higher-risk destinations need approval</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Vaccination and health requirements checked</w:t>
            </w:r>
          </w:p>
        </w:tc>
        <w:tc>
          <w:tcPr>
            <w:tcW w:type="dxa" w:w="4627"/>
            <w:tcMar>
              <w:top w:type="dxa" w:w="70"/>
              <w:left w:type="dxa" w:w="100"/>
              <w:bottom w:type="dxa" w:w="70"/>
              <w:right w:type="dxa" w:w="100"/>
            </w:tcMar>
            <w:vAlign w:val="center"/>
          </w:tcPr>
          <w:p>
            <w:pPr>
              <w:spacing w:after="0" w:line="240"/>
              <w:jc w:val="left"/>
            </w:pP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24-hour emergency contact given to the traveller</w:t>
            </w:r>
          </w:p>
        </w:tc>
        <w:tc>
          <w:tcPr>
            <w:tcW w:type="dxa" w:w="46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And it must be answered</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Emergency and evacuation arrangements understood</w:t>
            </w:r>
          </w:p>
        </w:tc>
        <w:tc>
          <w:tcPr>
            <w:tcW w:type="dxa" w:w="46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Where relevant</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Check-in arrangements for higher-risk travel</w:t>
            </w:r>
          </w:p>
        </w:tc>
        <w:tc>
          <w:tcPr>
            <w:tcW w:type="dxa" w:w="4627"/>
            <w:tcMar>
              <w:top w:type="dxa" w:w="70"/>
              <w:left w:type="dxa" w:w="100"/>
              <w:bottom w:type="dxa" w:w="70"/>
              <w:right w:type="dxa" w:w="100"/>
            </w:tcMar>
            <w:vAlign w:val="center"/>
          </w:tcPr>
          <w:p>
            <w:pPr>
              <w:spacing w:after="0" w:line="240"/>
              <w:jc w:val="left"/>
            </w:pP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Local laws and customs briefed</w:t>
            </w:r>
          </w:p>
        </w:tc>
        <w:tc>
          <w:tcPr>
            <w:tcW w:type="dxa" w:w="46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Particularly where they differ sharply</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9</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Company data on devices protected</w:t>
            </w:r>
          </w:p>
        </w:tc>
        <w:tc>
          <w:tcPr>
            <w:tcW w:type="dxa" w:w="46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Encryption; minimal data carried</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10</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Lone traveller considerations addressed</w:t>
            </w:r>
          </w:p>
        </w:tc>
        <w:tc>
          <w:tcPr>
            <w:tcW w:type="dxa" w:w="4627"/>
            <w:tcMar>
              <w:top w:type="dxa" w:w="70"/>
              <w:left w:type="dxa" w:w="100"/>
              <w:bottom w:type="dxa" w:w="70"/>
              <w:right w:type="dxa" w:w="100"/>
            </w:tcMar>
            <w:vAlign w:val="center"/>
          </w:tcPr>
          <w:p>
            <w:pPr>
              <w:spacing w:after="0" w:line="240"/>
              <w:jc w:val="left"/>
            </w:pPr>
          </w:p>
        </w:tc>
      </w:tr>
    </w:tbl>
    <w:p>
      <w:pPr>
        <w:spacing w:after="140"/>
      </w:pP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i/>
          <w:iCs/>
          <w:sz w:val="21"/>
          <w:szCs w:val="21"/>
        </w:rPr>
        <w:t xml:space="preserve">A 24-hour number that rings out is worse than none, because the traveller believed there was support. Make sure it is genuinely answered.</w:t>
      </w:r>
    </w:p>
    <w:p>
      <w:pPr>
        <w:keepNext/>
        <w:spacing w:after="120" w:before="280"/>
        <w:outlineLvl w:val="0"/>
      </w:pPr>
      <w:r>
        <w:rPr>
          <w:rFonts w:ascii="Calibri" w:cs="Calibri" w:eastAsia="Calibri" w:hAnsi="Calibri"/>
          <w:b/>
          <w:bCs/>
          <w:color w:val="14161B"/>
          <w:sz w:val="22"/>
          <w:szCs w:val="22"/>
        </w:rPr>
        <w:t xml:space="preserve">5. DATA ON THE MOVE</w:t>
      </w: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sz w:val="21"/>
          <w:szCs w:val="21"/>
        </w:rPr>
        <w:t xml:space="preserve">Take the minimum data necessary. Do not carry the customer database to a conference.</w:t>
      </w: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sz w:val="21"/>
          <w:szCs w:val="21"/>
        </w:rPr>
        <w:t xml:space="preserve">Devices are encrypted, passcode-protected and not left unattended.</w:t>
      </w:r>
    </w:p>
    <w:p>
      <w:pPr>
        <w:spacing w:after="120" w:before="60" w:line="276"/>
        <w:ind w:left="720" w:hanging="720"/>
        <w:jc w:val="both"/>
      </w:pPr>
      <w:r>
        <w:rPr>
          <w:rFonts w:ascii="Calibri" w:cs="Calibri" w:eastAsia="Calibri" w:hAnsi="Calibri"/>
          <w:sz w:val="21"/>
          <w:szCs w:val="21"/>
        </w:rPr>
        <w:t xml:space="preserve">5.3	</w:t>
      </w:r>
      <w:r>
        <w:rPr>
          <w:rFonts w:ascii="Calibri" w:cs="Calibri" w:eastAsia="Calibri" w:hAnsi="Calibri"/>
          <w:b/>
          <w:bCs/>
          <w:sz w:val="21"/>
          <w:szCs w:val="21"/>
        </w:rPr>
        <w:t xml:space="preserve">Accessing Company personal data from another country is a transfer</w:t>
      </w:r>
      <w:r>
        <w:rPr>
          <w:rFonts w:ascii="Calibri" w:cs="Calibri" w:eastAsia="Calibri" w:hAnsi="Calibri"/>
          <w:sz w:val="21"/>
          <w:szCs w:val="21"/>
        </w:rPr>
        <w:t xml:space="preserve">, assessed under the exporting entity’s regime. Where the Company is in DIFC or ADGM, or the destination lacks adequacy, safeguards are needed.</w:t>
      </w:r>
    </w:p>
    <w:p>
      <w:pPr>
        <w:spacing w:after="120" w:before="60" w:line="276"/>
        <w:ind w:left="720" w:hanging="720"/>
        <w:jc w:val="both"/>
      </w:pPr>
      <w:r>
        <w:rPr>
          <w:rFonts w:ascii="Calibri" w:cs="Calibri" w:eastAsia="Calibri" w:hAnsi="Calibri"/>
          <w:sz w:val="21"/>
          <w:szCs w:val="21"/>
        </w:rPr>
        <w:t xml:space="preserve">5.4	</w:t>
      </w:r>
      <w:r>
        <w:rPr>
          <w:rFonts w:ascii="Calibri" w:cs="Calibri" w:eastAsia="Calibri" w:hAnsi="Calibri"/>
          <w:sz w:val="21"/>
          <w:szCs w:val="21"/>
        </w:rPr>
        <w:t xml:space="preserve">Public wifi is used only with the Company VPN. </w:t>
      </w:r>
      <w:r>
        <w:rPr>
          <w:rFonts w:ascii="Calibri" w:cs="Calibri" w:eastAsia="Calibri" w:hAnsi="Calibri"/>
          <w:i/>
          <w:iCs/>
          <w:sz w:val="21"/>
          <w:szCs w:val="21"/>
        </w:rPr>
        <w:t xml:space="preserve">Note that VPN use to circumvent access restrictions can itself be an offence in some jurisdictions, including in the UAE — use it for security, not for circumvention.</w:t>
      </w:r>
    </w:p>
    <w:p>
      <w:pPr>
        <w:spacing w:after="120" w:before="60" w:line="276"/>
        <w:ind w:left="720" w:hanging="720"/>
        <w:jc w:val="both"/>
      </w:pPr>
      <w:r>
        <w:rPr>
          <w:rFonts w:ascii="Calibri" w:cs="Calibri" w:eastAsia="Calibri" w:hAnsi="Calibri"/>
          <w:sz w:val="21"/>
          <w:szCs w:val="21"/>
        </w:rPr>
        <w:t xml:space="preserve">5.5	</w:t>
      </w:r>
      <w:r>
        <w:rPr>
          <w:rFonts w:ascii="Calibri" w:cs="Calibri" w:eastAsia="Calibri" w:hAnsi="Calibri"/>
          <w:sz w:val="21"/>
          <w:szCs w:val="21"/>
        </w:rPr>
        <w:t xml:space="preserve">Loss or theft of a device is reported </w:t>
      </w:r>
      <w:r>
        <w:rPr>
          <w:rFonts w:ascii="Calibri" w:cs="Calibri" w:eastAsia="Calibri" w:hAnsi="Calibri"/>
          <w:b/>
          <w:bCs/>
          <w:sz w:val="21"/>
          <w:szCs w:val="21"/>
        </w:rPr>
        <w:t xml:space="preserve">immediately</w:t>
      </w:r>
      <w:r>
        <w:rPr>
          <w:rFonts w:ascii="Calibri" w:cs="Calibri" w:eastAsia="Calibri" w:hAnsi="Calibri"/>
          <w:sz w:val="21"/>
          <w:szCs w:val="21"/>
        </w:rPr>
        <w:t xml:space="preserve"> — it may be a notifiable data breach.</w:t>
      </w:r>
    </w:p>
    <w:p>
      <w:pPr>
        <w:keepNext/>
        <w:spacing w:after="120" w:before="280"/>
        <w:outlineLvl w:val="0"/>
      </w:pPr>
      <w:r>
        <w:rPr>
          <w:rFonts w:ascii="Calibri" w:cs="Calibri" w:eastAsia="Calibri" w:hAnsi="Calibri"/>
          <w:b/>
          <w:bCs/>
          <w:color w:val="14161B"/>
          <w:sz w:val="22"/>
          <w:szCs w:val="22"/>
        </w:rPr>
        <w:t xml:space="preserve">6. EXTENDED TRAVEL REVIEW</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5300"/>
        <w:gridCol w:w="3857"/>
      </w:tblGrid>
      <w:tr>
        <w:trPr>
          <w:cantSplit/>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530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Trigger</w:t>
            </w:r>
          </w:p>
        </w:tc>
        <w:tc>
          <w:tcPr>
            <w:tcW w:type="dxa" w:w="385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Review required</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More than </w:t>
            </w:r>
            <w:r>
              <w:rPr>
                <w:rFonts w:ascii="Calibri" w:cs="Calibri" w:eastAsia="Calibri" w:hAnsi="Calibri"/>
                <w:b/>
                <w:bCs/>
                <w:sz w:val="18"/>
                <w:szCs w:val="18"/>
              </w:rPr>
              <w:t xml:space="preserve">[30]</w:t>
            </w:r>
            <w:r>
              <w:rPr>
                <w:rFonts w:ascii="Calibri" w:cs="Calibri" w:eastAsia="Calibri" w:hAnsi="Calibri"/>
                <w:sz w:val="18"/>
                <w:szCs w:val="18"/>
              </w:rPr>
              <w:t xml:space="preserve"> days in one country in 12 months</w:t>
            </w:r>
          </w:p>
        </w:tc>
        <w:tc>
          <w:tcPr>
            <w:tcW w:type="dxa" w:w="385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Tax and immigration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Any single trip over </w:t>
            </w:r>
            <w:r>
              <w:rPr>
                <w:rFonts w:ascii="Calibri" w:cs="Calibri" w:eastAsia="Calibri" w:hAnsi="Calibri"/>
                <w:b/>
                <w:bCs/>
                <w:sz w:val="18"/>
                <w:szCs w:val="18"/>
              </w:rPr>
              <w:t xml:space="preserve">[2]</w:t>
            </w:r>
            <w:r>
              <w:rPr>
                <w:rFonts w:ascii="Calibri" w:cs="Calibri" w:eastAsia="Calibri" w:hAnsi="Calibri"/>
                <w:b/>
                <w:bCs/>
                <w:sz w:val="18"/>
                <w:szCs w:val="18"/>
              </w:rPr>
              <w:t xml:space="preserve"> weeks</w:t>
            </w:r>
            <w:r>
              <w:rPr>
                <w:rFonts w:ascii="Calibri" w:cs="Calibri" w:eastAsia="Calibri" w:hAnsi="Calibri"/>
                <w:sz w:val="18"/>
                <w:szCs w:val="18"/>
              </w:rPr>
              <w:t xml:space="preserve"> performing work</w:t>
            </w:r>
          </w:p>
        </w:tc>
        <w:tc>
          <w:tcPr>
            <w:tcW w:type="dxa" w:w="385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Work authorisation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Any request to work remotely from abroad</w:t>
            </w:r>
          </w:p>
        </w:tc>
        <w:tc>
          <w:tcPr>
            <w:tcW w:type="dxa" w:w="385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Full review before approval</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4</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Repeat travel to a country with a low presence threshold</w:t>
            </w:r>
          </w:p>
        </w:tc>
        <w:tc>
          <w:tcPr>
            <w:tcW w:type="dxa" w:w="385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Tax</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5</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An employee spending significant time outside the UAE</w:t>
            </w:r>
          </w:p>
        </w:tc>
        <w:tc>
          <w:tcPr>
            <w:tcW w:type="dxa" w:w="385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Their own residence status</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6</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Delivering services at a client site abroad</w:t>
            </w:r>
          </w:p>
        </w:tc>
        <w:tc>
          <w:tcPr>
            <w:tcW w:type="dxa" w:w="385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PE risk and local authorisation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7</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Any travel to a sanctioned or restricted jurisdiction</w:t>
            </w:r>
          </w:p>
        </w:tc>
        <w:tc>
          <w:tcPr>
            <w:tcW w:type="dxa" w:w="385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Legal advice before booking</w:t>
            </w:r>
          </w:p>
        </w:tc>
      </w:tr>
    </w:tbl>
    <w:p>
      <w:pPr>
        <w:spacing w:after="140"/>
      </w:pP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i/>
          <w:iCs/>
          <w:sz w:val="21"/>
          <w:szCs w:val="21"/>
        </w:rPr>
        <w:t xml:space="preserve">Row 5 is the one employees care about most and are told about least. Extended absence from the UAE can affect a residence visa, and someone travelling heavily on the Company’s business should be told before it becomes a problem.</w:t>
      </w:r>
    </w:p>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Working abroad is not a travel question</w:t>
      </w:r>
    </w:p>
    <w:p>
      <w:pPr>
        <w:spacing w:after="60" w:line="264"/>
        <w:jc w:val="both"/>
      </w:pPr>
      <w:r>
        <w:rPr>
          <w:rFonts w:ascii="Calibri" w:cs="Calibri" w:eastAsia="Calibri" w:hAnsi="Calibri"/>
          <w:sz w:val="19"/>
          <w:szCs w:val="19"/>
        </w:rPr>
        <w:t xml:space="preserve">An employee working from another country can create a taxable presence for the company, attract local employment and social security obligations, breach that country’s immigration rules, and affect their own UAE residence. Treat any request to work remotely from abroad as a structural decision requiring advice, not an expense approval.</w:t>
      </w:r>
    </w:p>
    <w:p>
      <w:pPr>
        <w:keepNext/>
        <w:spacing w:after="40" w:before="140"/>
      </w:pPr>
      <w:r>
        <w:rPr>
          <w:rFonts w:ascii="Calibri" w:cs="Calibri" w:eastAsia="Calibri" w:hAnsi="Calibri"/>
          <w:b/>
          <w:bCs/>
          <w:color w:val="14161B"/>
          <w:sz w:val="20"/>
          <w:szCs w:val="20"/>
        </w:rPr>
        <w:t xml:space="preserve">A business visa rarely permits performing work</w:t>
      </w:r>
    </w:p>
    <w:p>
      <w:pPr>
        <w:spacing w:after="60" w:line="264"/>
        <w:jc w:val="both"/>
      </w:pPr>
      <w:r>
        <w:rPr>
          <w:rFonts w:ascii="Calibri" w:cs="Calibri" w:eastAsia="Calibri" w:hAnsi="Calibri"/>
          <w:sz w:val="19"/>
          <w:szCs w:val="19"/>
        </w:rPr>
        <w:t xml:space="preserve">Meetings and conferences are usually fine; delivering a project, providing training or working at a client site frequently are not. The exposure falls on the company as well as the individual, and it is discovered at the border or by the client’s own compliance team.</w:t>
      </w:r>
    </w:p>
    <w:p>
      <w:pPr>
        <w:keepNext/>
        <w:spacing w:after="40" w:before="140"/>
      </w:pPr>
      <w:r>
        <w:rPr>
          <w:rFonts w:ascii="Calibri" w:cs="Calibri" w:eastAsia="Calibri" w:hAnsi="Calibri"/>
          <w:b/>
          <w:bCs/>
          <w:color w:val="14161B"/>
          <w:sz w:val="20"/>
          <w:szCs w:val="20"/>
        </w:rPr>
        <w:t xml:space="preserve">Track cumulative days per country</w:t>
      </w:r>
    </w:p>
    <w:p>
      <w:pPr>
        <w:spacing w:after="60" w:line="264"/>
        <w:jc w:val="both"/>
      </w:pPr>
      <w:r>
        <w:rPr>
          <w:rFonts w:ascii="Calibri" w:cs="Calibri" w:eastAsia="Calibri" w:hAnsi="Calibri"/>
          <w:sz w:val="19"/>
          <w:szCs w:val="19"/>
        </w:rPr>
        <w:t xml:space="preserve">Presence thresholds are counted across a rolling period, so no individual trip triggers them. That is exactly why nobody notices until one does. A simple per-person, per-country day count is the whole control.</w:t>
      </w:r>
    </w:p>
    <w:p>
      <w:pPr>
        <w:keepNext/>
        <w:spacing w:after="40" w:before="140"/>
      </w:pPr>
      <w:r>
        <w:rPr>
          <w:rFonts w:ascii="Calibri" w:cs="Calibri" w:eastAsia="Calibri" w:hAnsi="Calibri"/>
          <w:b/>
          <w:bCs/>
          <w:color w:val="14161B"/>
          <w:sz w:val="20"/>
          <w:szCs w:val="20"/>
        </w:rPr>
        <w:t xml:space="preserve">Extended absence can affect UAE residence</w:t>
      </w:r>
    </w:p>
    <w:p>
      <w:pPr>
        <w:spacing w:after="60" w:line="264"/>
        <w:jc w:val="both"/>
      </w:pPr>
      <w:r>
        <w:rPr>
          <w:rFonts w:ascii="Calibri" w:cs="Calibri" w:eastAsia="Calibri" w:hAnsi="Calibri"/>
          <w:sz w:val="19"/>
          <w:szCs w:val="19"/>
        </w:rPr>
        <w:t xml:space="preserve">An employee travelling heavily on the company’s business may return to a status problem neither side anticipated. This is the point employees care about most and are told about least — raise it before it becomes a problem.</w:t>
      </w:r>
    </w:p>
    <w:p>
      <w:pPr>
        <w:keepNext/>
        <w:spacing w:after="40" w:before="140"/>
      </w:pPr>
      <w:r>
        <w:rPr>
          <w:rFonts w:ascii="Calibri" w:cs="Calibri" w:eastAsia="Calibri" w:hAnsi="Calibri"/>
          <w:b/>
          <w:bCs/>
          <w:color w:val="14161B"/>
          <w:sz w:val="20"/>
          <w:szCs w:val="20"/>
        </w:rPr>
        <w:t xml:space="preserve">Accessing data from abroad is a transfer</w:t>
      </w:r>
    </w:p>
    <w:p>
      <w:pPr>
        <w:spacing w:after="60" w:line="264"/>
        <w:jc w:val="both"/>
      </w:pPr>
      <w:r>
        <w:rPr>
          <w:rFonts w:ascii="Calibri" w:cs="Calibri" w:eastAsia="Calibri" w:hAnsi="Calibri"/>
          <w:sz w:val="19"/>
          <w:szCs w:val="19"/>
        </w:rPr>
        <w:t xml:space="preserve">An employee opening Company systems from another country is receiving that data there. Where the entity is in DIFC or ADGM, or the destination has no adequacy finding, safeguards are needed. Remote access counts even where nothing is downloaded.</w:t>
      </w:r>
    </w:p>
    <w:p>
      <w:pPr>
        <w:keepNext/>
        <w:spacing w:after="40" w:before="140"/>
      </w:pPr>
      <w:r>
        <w:rPr>
          <w:rFonts w:ascii="Calibri" w:cs="Calibri" w:eastAsia="Calibri" w:hAnsi="Calibri"/>
          <w:b/>
          <w:bCs/>
          <w:color w:val="14161B"/>
          <w:sz w:val="20"/>
          <w:szCs w:val="20"/>
        </w:rPr>
        <w:t xml:space="preserve">Carry the minimum data</w:t>
      </w:r>
    </w:p>
    <w:p>
      <w:pPr>
        <w:spacing w:after="60" w:line="264"/>
        <w:jc w:val="both"/>
      </w:pPr>
      <w:r>
        <w:rPr>
          <w:rFonts w:ascii="Calibri" w:cs="Calibri" w:eastAsia="Calibri" w:hAnsi="Calibri"/>
          <w:sz w:val="19"/>
          <w:szCs w:val="19"/>
        </w:rPr>
        <w:t xml:space="preserve">A laptop holding the full customer database taken to a conference is a breach waiting to happen. Minimise what travels, encrypt what does, and report loss immediately rather than hoping it turns up.</w:t>
      </w:r>
    </w:p>
    <w:p>
      <w:pPr>
        <w:keepNext/>
        <w:spacing w:after="40" w:before="140"/>
      </w:pPr>
      <w:r>
        <w:rPr>
          <w:rFonts w:ascii="Calibri" w:cs="Calibri" w:eastAsia="Calibri" w:hAnsi="Calibri"/>
          <w:b/>
          <w:bCs/>
          <w:color w:val="14161B"/>
          <w:sz w:val="20"/>
          <w:szCs w:val="20"/>
        </w:rPr>
        <w:t xml:space="preserve">Be accurate about VPNs</w:t>
      </w:r>
    </w:p>
    <w:p>
      <w:pPr>
        <w:spacing w:after="60" w:line="264"/>
        <w:jc w:val="both"/>
      </w:pPr>
      <w:r>
        <w:rPr>
          <w:rFonts w:ascii="Calibri" w:cs="Calibri" w:eastAsia="Calibri" w:hAnsi="Calibri"/>
          <w:sz w:val="19"/>
          <w:szCs w:val="19"/>
        </w:rPr>
        <w:t xml:space="preserve">A Company VPN on public wifi is sound security practice. Using a VPN to circumvent access restrictions can itself be an offence in some jurisdictions including the UAE. State the distinction precisely — a policy that overstates the rule loses credibility on everything else.</w:t>
      </w:r>
    </w:p>
    <w:p>
      <w:pPr>
        <w:keepNext/>
        <w:spacing w:after="40" w:before="140"/>
      </w:pPr>
      <w:r>
        <w:rPr>
          <w:rFonts w:ascii="Calibri" w:cs="Calibri" w:eastAsia="Calibri" w:hAnsi="Calibri"/>
          <w:b/>
          <w:bCs/>
          <w:color w:val="14161B"/>
          <w:sz w:val="20"/>
          <w:szCs w:val="20"/>
        </w:rPr>
        <w:t xml:space="preserve">A 24-hour number must actually be answered</w:t>
      </w:r>
    </w:p>
    <w:p>
      <w:pPr>
        <w:spacing w:after="60" w:line="264"/>
        <w:jc w:val="both"/>
      </w:pPr>
      <w:r>
        <w:rPr>
          <w:rFonts w:ascii="Calibri" w:cs="Calibri" w:eastAsia="Calibri" w:hAnsi="Calibri"/>
          <w:sz w:val="19"/>
          <w:szCs w:val="19"/>
        </w:rPr>
        <w:t xml:space="preserve">An emergency contact that rings out is worse than none, because the traveller believed support existed. Test it, and make sure whoever holds it knows they hold it.</w:t>
      </w:r>
    </w:p>
    <w:p>
      <w:pPr>
        <w:keepNext/>
        <w:spacing w:after="40" w:before="140"/>
      </w:pPr>
      <w:r>
        <w:rPr>
          <w:rFonts w:ascii="Calibri" w:cs="Calibri" w:eastAsia="Calibri" w:hAnsi="Calibri"/>
          <w:b/>
          <w:bCs/>
          <w:color w:val="14161B"/>
          <w:sz w:val="20"/>
          <w:szCs w:val="20"/>
        </w:rPr>
        <w:t xml:space="preserve">Record the itinerary before departure</w:t>
      </w:r>
    </w:p>
    <w:p>
      <w:pPr>
        <w:spacing w:after="60" w:line="264"/>
        <w:jc w:val="both"/>
      </w:pPr>
      <w:r>
        <w:rPr>
          <w:rFonts w:ascii="Calibri" w:cs="Calibri" w:eastAsia="Calibri" w:hAnsi="Calibri"/>
          <w:sz w:val="19"/>
          <w:szCs w:val="19"/>
        </w:rPr>
        <w:t xml:space="preserve">The company cannot discharge a duty of care to someone whose location it does not know. Itinerary, accommodation and contact details recorded before departure is the minimum, and it costs nothing.</w:t>
      </w:r>
    </w:p>
    <w:p>
      <w:pPr>
        <w:keepNext/>
        <w:spacing w:after="40" w:before="140"/>
      </w:pPr>
      <w:r>
        <w:rPr>
          <w:rFonts w:ascii="Calibri" w:cs="Calibri" w:eastAsia="Calibri" w:hAnsi="Calibri"/>
          <w:b/>
          <w:bCs/>
          <w:color w:val="14161B"/>
          <w:sz w:val="20"/>
          <w:szCs w:val="20"/>
        </w:rPr>
        <w:t xml:space="preserve">Check insurance covers the destination and the activity</w:t>
      </w:r>
    </w:p>
    <w:p>
      <w:pPr>
        <w:spacing w:after="60" w:line="264"/>
        <w:jc w:val="both"/>
      </w:pPr>
      <w:r>
        <w:rPr>
          <w:rFonts w:ascii="Calibri" w:cs="Calibri" w:eastAsia="Calibri" w:hAnsi="Calibri"/>
          <w:sz w:val="19"/>
          <w:szCs w:val="19"/>
        </w:rPr>
        <w:t xml:space="preserve">Travel policies carry territorial and activity exclusions, and the destination that most needs cover is the one most likely to be excluded. Check before booking rather than assuming the annual policy responds.</w:t>
      </w:r>
    </w:p>
    <w:p>
      <w:pPr>
        <w:keepNext/>
        <w:spacing w:after="40" w:before="140"/>
      </w:pPr>
      <w:r>
        <w:rPr>
          <w:rFonts w:ascii="Calibri" w:cs="Calibri" w:eastAsia="Calibri" w:hAnsi="Calibri"/>
          <w:b/>
          <w:bCs/>
          <w:color w:val="14161B"/>
          <w:sz w:val="20"/>
          <w:szCs w:val="20"/>
        </w:rPr>
        <w:t xml:space="preserve">Foreign VAT is generally not recoverable here</w:t>
      </w:r>
    </w:p>
    <w:p>
      <w:pPr>
        <w:spacing w:after="60" w:line="264"/>
        <w:jc w:val="both"/>
      </w:pPr>
      <w:r>
        <w:rPr>
          <w:rFonts w:ascii="Calibri" w:cs="Calibri" w:eastAsia="Calibri" w:hAnsi="Calibri"/>
          <w:sz w:val="19"/>
          <w:szCs w:val="19"/>
        </w:rPr>
        <w:t xml:space="preserve">Input tax on expenditure incurred abroad cannot normally be recovered through the UAE return, and entertainment is blocked in any event. Code travel expenditure to exclude it from recovery by default rather than correcting it at the return.</w:t>
      </w:r>
    </w:p>
    <w:p>
      <w:pPr>
        <w:keepNext/>
        <w:spacing w:after="40" w:before="140"/>
      </w:pPr>
      <w:r>
        <w:rPr>
          <w:rFonts w:ascii="Calibri" w:cs="Calibri" w:eastAsia="Calibri" w:hAnsi="Calibri"/>
          <w:b/>
          <w:bCs/>
          <w:color w:val="14161B"/>
          <w:sz w:val="20"/>
          <w:szCs w:val="20"/>
        </w:rPr>
        <w:t xml:space="preserve">Name the client for entertainment while travelling</w:t>
      </w:r>
    </w:p>
    <w:p>
      <w:pPr>
        <w:spacing w:after="60" w:line="264"/>
        <w:jc w:val="both"/>
      </w:pPr>
      <w:r>
        <w:rPr>
          <w:rFonts w:ascii="Calibri" w:cs="Calibri" w:eastAsia="Calibri" w:hAnsi="Calibri"/>
          <w:sz w:val="19"/>
          <w:szCs w:val="19"/>
        </w:rPr>
        <w:t xml:space="preserve">A restaurant receipt from another city with no business purpose recorded is indistinguishable from a personal meal. The purpose and the client name take seconds to record and make the difference for both the approver and any later review.</w:t>
      </w:r>
    </w:p>
    <w:p>
      <w:pPr>
        <w:keepNext/>
        <w:spacing w:after="40" w:before="140"/>
      </w:pPr>
      <w:r>
        <w:rPr>
          <w:rFonts w:ascii="Calibri" w:cs="Calibri" w:eastAsia="Calibri" w:hAnsi="Calibri"/>
          <w:b/>
          <w:bCs/>
          <w:color w:val="14161B"/>
          <w:sz w:val="20"/>
          <w:szCs w:val="20"/>
        </w:rPr>
        <w:t xml:space="preserve">Brief local laws where they differ sharply</w:t>
      </w:r>
    </w:p>
    <w:p>
      <w:pPr>
        <w:spacing w:after="60" w:line="264"/>
        <w:jc w:val="both"/>
      </w:pPr>
      <w:r>
        <w:rPr>
          <w:rFonts w:ascii="Calibri" w:cs="Calibri" w:eastAsia="Calibri" w:hAnsi="Calibri"/>
          <w:sz w:val="19"/>
          <w:szCs w:val="19"/>
        </w:rPr>
        <w:t xml:space="preserve">Employees travelling from the UAE to other jurisdictions, and vice versa, carry assumptions that do not travel. A short briefing on the destination is a duty-of-care measure as well as a practical one.</w:t>
      </w:r>
    </w:p>
    <w:p>
      <w:pPr>
        <w:keepNext/>
        <w:spacing w:after="40" w:before="140"/>
      </w:pPr>
      <w:r>
        <w:rPr>
          <w:rFonts w:ascii="Calibri" w:cs="Calibri" w:eastAsia="Calibri" w:hAnsi="Calibri"/>
          <w:b/>
          <w:bCs/>
          <w:color w:val="14161B"/>
          <w:sz w:val="20"/>
          <w:szCs w:val="20"/>
        </w:rPr>
        <w:t xml:space="preserve">Take advice before travel to restricted jurisdictions</w:t>
      </w:r>
    </w:p>
    <w:p>
      <w:pPr>
        <w:spacing w:after="60" w:line="264"/>
        <w:jc w:val="both"/>
      </w:pPr>
      <w:r>
        <w:rPr>
          <w:rFonts w:ascii="Calibri" w:cs="Calibri" w:eastAsia="Calibri" w:hAnsi="Calibri"/>
          <w:sz w:val="19"/>
          <w:szCs w:val="19"/>
        </w:rPr>
        <w:t xml:space="preserve">Sanctions exposure, banking consequences and re-entry issues can follow travel to certain countries. This needs checking before booking, not before boarding.</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UAE law and practice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Immigration rules for business travel, permanent establishment and presence thresholds, VAT recovery on foreign expenditure, data protection transfer requirements and UAE residence rules on absence all change and vary by destination — take tax and immigration advice before approving extended or repeated travel.</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2026-08-23T16:28:33.141Z</dcterms:created>
  <dcterms:modified xsi:type="dcterms:W3CDTF">2026-08-23T16:28:33.141Z</dcterms:modified>
</cp:coreProperties>
</file>

<file path=docProps/custom.xml><?xml version="1.0" encoding="utf-8"?>
<Properties xmlns="http://schemas.openxmlformats.org/officeDocument/2006/custom-properties" xmlns:vt="http://schemas.openxmlformats.org/officeDocument/2006/docPropsVTypes"/>
</file>