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INSURANCE</w:t>
      </w:r>
    </w:p>
    <w:p>
      <w:pPr>
        <w:spacing w:after="260"/>
        <w:jc w:val="center"/>
      </w:pPr>
      <w:r>
        <w:rPr>
          <w:rFonts w:ascii="Calibri" w:cs="Calibri" w:eastAsia="Calibri" w:hAnsi="Calibri"/>
          <w:i/>
          <w:iCs/>
          <w:color w:val="6E7480"/>
          <w:sz w:val="19"/>
          <w:szCs w:val="19"/>
        </w:rPr>
        <w:t xml:space="preserve">What is mandatory, what is expected, what is optional</w:t>
      </w:r>
    </w:p>
    <w:p>
      <w:pPr>
        <w:spacing w:after="180" w:before="0" w:line="276"/>
        <w:jc w:val="both"/>
      </w:pPr>
      <w:r>
        <w:rPr>
          <w:rFonts w:ascii="Calibri" w:cs="Calibri" w:eastAsia="Calibri" w:hAnsi="Calibri"/>
          <w:i/>
          <w:iCs/>
          <w:color w:val="6E7480"/>
          <w:sz w:val="21"/>
          <w:szCs w:val="21"/>
        </w:rPr>
        <w:t xml:space="preserve">Two covers are effectively compulsory for any UAE employer: </w:t>
      </w:r>
      <w:r>
        <w:rPr>
          <w:rFonts w:ascii="Calibri" w:cs="Calibri" w:eastAsia="Calibri" w:hAnsi="Calibri"/>
          <w:b/>
          <w:bCs/>
          <w:i/>
          <w:iCs/>
          <w:color w:val="6E7480"/>
          <w:sz w:val="21"/>
          <w:szCs w:val="21"/>
        </w:rPr>
        <w:t xml:space="preserve">health insurance</w:t>
      </w:r>
      <w:r>
        <w:rPr>
          <w:rFonts w:ascii="Calibri" w:cs="Calibri" w:eastAsia="Calibri" w:hAnsi="Calibri"/>
          <w:i/>
          <w:iCs/>
          <w:color w:val="6E7480"/>
          <w:sz w:val="21"/>
          <w:szCs w:val="21"/>
        </w:rPr>
        <w:t xml:space="preserve"> for employees and </w:t>
      </w:r>
      <w:r>
        <w:rPr>
          <w:rFonts w:ascii="Calibri" w:cs="Calibri" w:eastAsia="Calibri" w:hAnsi="Calibri"/>
          <w:b/>
          <w:bCs/>
          <w:i/>
          <w:iCs/>
          <w:color w:val="6E7480"/>
          <w:sz w:val="21"/>
          <w:szCs w:val="21"/>
        </w:rPr>
        <w:t xml:space="preserve">work injury compensation</w:t>
      </w:r>
      <w:r>
        <w:rPr>
          <w:rFonts w:ascii="Calibri" w:cs="Calibri" w:eastAsia="Calibri" w:hAnsi="Calibri"/>
          <w:i/>
          <w:iCs/>
          <w:color w:val="6E7480"/>
          <w:sz w:val="21"/>
          <w:szCs w:val="21"/>
        </w:rPr>
        <w:t xml:space="preserve">. Beyond that, insurance is driven by contracts — landlords, clients and lenders will require cover, and a policy taken out at incorporation and renewed unread rarely matches what the business now does.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Premises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[Office / warehouse / site / none]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Vehicles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Broker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[CONTACT]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review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YOU MUST HAVE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313"/>
        <w:gridCol w:w="4434"/>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Cover</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44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insurance for employees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Mandatory</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Requirements and minimum benefit levels are set by emirate. Visa issuance depends on it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injury compensation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Mandatory in effect</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Covers injury and occupational illness arising out of and in the course of employment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Motor insurance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Mandatory</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every company vehicle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insurance for dependants]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[Varies by emirate]</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whose obligation it is in your emirate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[Professional indemnity]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[Required for some regulated activities]</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the licence conditions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[Bank guarantee or deposit]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required by the authority]</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insurance, but often arranged alongside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Health insurance requirements differ by emirate — minimum benefits, who must be covered, and whether dependants fall on the employer or the sponsor. Confirm for the emirate where the employees are based, not where the company is licensed, if they differ.</w:t>
      </w:r>
    </w:p>
    <w:p>
      <w:pPr>
        <w:keepNext/>
        <w:spacing w:after="120" w:before="280"/>
        <w:outlineLvl w:val="0"/>
      </w:pPr>
      <w:r>
        <w:rPr>
          <w:rFonts w:ascii="Calibri" w:cs="Calibri" w:eastAsia="Calibri" w:hAnsi="Calibri"/>
          <w:b/>
          <w:bCs/>
          <w:color w:val="14161B"/>
          <w:sz w:val="22"/>
          <w:szCs w:val="22"/>
        </w:rPr>
        <w:t xml:space="preserve">2. WHAT CONTRACTS WILL REQUIRE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4049"/>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Cover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Who asks for it</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Typical trigger</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Public liability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Landlords, clients, event venues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lease or site access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Professional indemnity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Clients, especially corporate and government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Services contracts — frequently a condition of award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Product liability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Distributors, retailers, importers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Supply of goods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Property and contents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Landlords, lenders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Premises and equipment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Directors and officers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standard condition in a funding round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Cyber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Clients handling data; some insurers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personal data is processed at scale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Contractors all risks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Project owners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Construction and fit-out work</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Marine or goods in transit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Buyers and sellers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Depends on the Incoterm agreed</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Read the insurance clause before signing the contract, not before the renewal. Clients frequently require limits above what a small company carries, and discovering that after signature means buying cover at short notice on someone else’s terms.</w:t>
      </w:r>
    </w:p>
    <w:p>
      <w:pPr>
        <w:keepNext/>
        <w:spacing w:after="120" w:before="280"/>
        <w:outlineLvl w:val="0"/>
      </w:pPr>
      <w:r>
        <w:rPr>
          <w:rFonts w:ascii="Calibri" w:cs="Calibri" w:eastAsia="Calibri" w:hAnsi="Calibri"/>
          <w:b/>
          <w:bCs/>
          <w:color w:val="14161B"/>
          <w:sz w:val="22"/>
          <w:szCs w:val="22"/>
        </w:rPr>
        <w:t xml:space="preserve">3.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1252"/>
        <w:gridCol w:w="1156"/>
        <w:gridCol w:w="1252"/>
        <w:gridCol w:w="1060"/>
        <w:gridCol w:w="1060"/>
        <w:gridCol w:w="154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Cover</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Insurer</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Policy</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Limit (AED)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Excess</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Expiry</w:t>
            </w:r>
          </w:p>
        </w:tc>
        <w:tc>
          <w:tcPr>
            <w:tcW w:type="dxa" w:w="154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Required by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Health insurance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Law</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injury compensation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Law</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Motor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Law</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Public liability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[Landlord]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Professional indemnity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[Client]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Property and contents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[Landlord]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Directors and officers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[Investor]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[Cyber]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[Client]</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ANNUAL REVIEW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Has headcount changed?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and work injury cover must include everyone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activities changed?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policy written for the original activity may exclude the new 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taken new premises?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Property, public liability and landlord requirements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started operating in another emirate or country?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Territorial limits are the most common gap</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client contracts require limits above what we carry?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contracts, not the memory of them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started processing personal data at scale?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Cyber and data liability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now have investors requiring D&amp;O?</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Usually a funding condition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limits still meaningful against the size of a realistic claim?</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Limits set at incorporation date badly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there exclusions we have grown into?</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Read the exclusions, not the schedule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broker still the right one?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Service matters at claim time, not at renewal</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Question 4 catches more companies than any other. A policy written for one emirate may not respond to an incident in another, and cover written for the UAE may not respond to work performed abroad — including by an employee working remotely from another country.</w:t>
      </w:r>
    </w:p>
    <w:p>
      <w:pPr>
        <w:keepNext/>
        <w:spacing w:after="120" w:before="280"/>
        <w:outlineLvl w:val="0"/>
      </w:pPr>
      <w:r>
        <w:rPr>
          <w:rFonts w:ascii="Calibri" w:cs="Calibri" w:eastAsia="Calibri" w:hAnsi="Calibri"/>
          <w:b/>
          <w:bCs/>
          <w:color w:val="14161B"/>
          <w:sz w:val="22"/>
          <w:szCs w:val="22"/>
        </w:rPr>
        <w:t xml:space="preserve">5. CLAIMS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975"/>
        <w:gridCol w:w="3085"/>
      </w:tblGrid>
      <w:tr>
        <w:trPr>
          <w:cantSplit/>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Make people safe; obtain medical treatment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Notify the insurer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 the policy — usually immediately or within days</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to the authorities where required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requirement</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Preserve the scene, equipment and records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clearing</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witness accounts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day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admit liability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Throughout</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the insurer with documents requested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Keep a single point of contact with the insurer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Throughout</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the claim in the register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notification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the cause and the cover afterwards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closure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Late notification is the most common reason a valid claim is refused.</w:t>
      </w:r>
      <w:r>
        <w:rPr>
          <w:rFonts w:ascii="Calibri" w:cs="Calibri" w:eastAsia="Calibri" w:hAnsi="Calibri"/>
          <w:sz w:val="21"/>
          <w:szCs w:val="21"/>
        </w:rPr>
        <w:t xml:space="preserve"> Notify the insurer even where you are unsure whether the matter will develop into a claim — notification costs nothing and preserves the position.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Do not admit liability, apologise in terms that concede fault, or agree a settlement without the insurer’s consent. Doing so can void cover.</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Being decent to an injured employee and admitting legal liability are different things. Provide care and support; leave the liability question to the insurer.</w:t>
      </w:r>
    </w:p>
    <w:p>
      <w:pPr>
        <w:keepNext/>
        <w:spacing w:after="120" w:before="280"/>
        <w:outlineLvl w:val="0"/>
      </w:pPr>
      <w:r>
        <w:rPr>
          <w:rFonts w:ascii="Calibri" w:cs="Calibri" w:eastAsia="Calibri" w:hAnsi="Calibri"/>
          <w:b/>
          <w:bCs/>
          <w:color w:val="14161B"/>
          <w:sz w:val="22"/>
          <w:szCs w:val="22"/>
        </w:rPr>
        <w:t xml:space="preserve">6. READING A POLICY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Look at</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Because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Territorial limits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Which emirates and countries the policy responds in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Exclusions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cover actually stops — more informative than the schedule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Activities covered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Must match the licence and what you actually do</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Limit per claim and in aggregate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aggregate limit can be exhausted by earlier claims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Excess or deductible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high excess makes small claims uninsured in practice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Claims made or occurrence basis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Professional indemnity is usually claims made — run-off matters on exit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Retroactive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Claims made policies may exclude earlier work</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Conditions precedent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can void cover entirely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Subcontractor position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their work is covered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Health insurance and work injury cover are not optional</w:t>
      </w:r>
    </w:p>
    <w:p>
      <w:pPr>
        <w:spacing w:after="60" w:line="264"/>
        <w:jc w:val="both"/>
      </w:pPr>
      <w:r>
        <w:rPr>
          <w:rFonts w:ascii="Calibri" w:cs="Calibri" w:eastAsia="Calibri" w:hAnsi="Calibri"/>
          <w:sz w:val="19"/>
          <w:szCs w:val="19"/>
        </w:rPr>
        <w:t xml:space="preserve">Health insurance is required for employees, with requirements and minimum benefits set by emirate, and visa issuance depends on it. Work injury compensation cover is required in effect for any employer. These are the two that must exist before anything else is considered.</w:t>
      </w:r>
    </w:p>
    <w:p>
      <w:pPr>
        <w:keepNext/>
        <w:spacing w:after="40" w:before="140"/>
      </w:pPr>
      <w:r>
        <w:rPr>
          <w:rFonts w:ascii="Calibri" w:cs="Calibri" w:eastAsia="Calibri" w:hAnsi="Calibri"/>
          <w:b/>
          <w:bCs/>
          <w:color w:val="14161B"/>
          <w:sz w:val="20"/>
          <w:szCs w:val="20"/>
        </w:rPr>
        <w:t xml:space="preserve">Confirm health insurance requirements by emirate</w:t>
      </w:r>
    </w:p>
    <w:p>
      <w:pPr>
        <w:spacing w:after="60" w:line="264"/>
        <w:jc w:val="both"/>
      </w:pPr>
      <w:r>
        <w:rPr>
          <w:rFonts w:ascii="Calibri" w:cs="Calibri" w:eastAsia="Calibri" w:hAnsi="Calibri"/>
          <w:sz w:val="19"/>
          <w:szCs w:val="19"/>
        </w:rPr>
        <w:t xml:space="preserve">Minimum benefit levels, who must be covered and whether dependants fall on the employer differ between emirates. Confirm for the emirate where employees are actually based, which is not always where the company is licensed.</w:t>
      </w:r>
    </w:p>
    <w:p>
      <w:pPr>
        <w:keepNext/>
        <w:spacing w:after="40" w:before="140"/>
      </w:pPr>
      <w:r>
        <w:rPr>
          <w:rFonts w:ascii="Calibri" w:cs="Calibri" w:eastAsia="Calibri" w:hAnsi="Calibri"/>
          <w:b/>
          <w:bCs/>
          <w:color w:val="14161B"/>
          <w:sz w:val="20"/>
          <w:szCs w:val="20"/>
        </w:rPr>
        <w:t xml:space="preserve">Read the insurance clause before signing the contract</w:t>
      </w:r>
    </w:p>
    <w:p>
      <w:pPr>
        <w:spacing w:after="60" w:line="264"/>
        <w:jc w:val="both"/>
      </w:pPr>
      <w:r>
        <w:rPr>
          <w:rFonts w:ascii="Calibri" w:cs="Calibri" w:eastAsia="Calibri" w:hAnsi="Calibri"/>
          <w:sz w:val="19"/>
          <w:szCs w:val="19"/>
        </w:rPr>
        <w:t xml:space="preserve">Clients, landlords and lenders impose insurance requirements, frequently at limits above what a small company carries. Discovering that after signature means buying cover urgently on terms you cannot negotiate. Check at the drafting stage.</w:t>
      </w:r>
    </w:p>
    <w:p>
      <w:pPr>
        <w:keepNext/>
        <w:spacing w:after="40" w:before="140"/>
      </w:pPr>
      <w:r>
        <w:rPr>
          <w:rFonts w:ascii="Calibri" w:cs="Calibri" w:eastAsia="Calibri" w:hAnsi="Calibri"/>
          <w:b/>
          <w:bCs/>
          <w:color w:val="14161B"/>
          <w:sz w:val="20"/>
          <w:szCs w:val="20"/>
        </w:rPr>
        <w:t xml:space="preserve">Territorial limits are the most common gap</w:t>
      </w:r>
    </w:p>
    <w:p>
      <w:pPr>
        <w:spacing w:after="60" w:line="264"/>
        <w:jc w:val="both"/>
      </w:pPr>
      <w:r>
        <w:rPr>
          <w:rFonts w:ascii="Calibri" w:cs="Calibri" w:eastAsia="Calibri" w:hAnsi="Calibri"/>
          <w:sz w:val="19"/>
          <w:szCs w:val="19"/>
        </w:rPr>
        <w:t xml:space="preserve">A policy written for one emirate may not respond to an incident in another, and UAE cover may not respond to work performed abroad — including by an employee working remotely from another country. Check this before agreeing to remote work overseas or opening in a second emirate.</w:t>
      </w:r>
    </w:p>
    <w:p>
      <w:pPr>
        <w:keepNext/>
        <w:spacing w:after="40" w:before="140"/>
      </w:pPr>
      <w:r>
        <w:rPr>
          <w:rFonts w:ascii="Calibri" w:cs="Calibri" w:eastAsia="Calibri" w:hAnsi="Calibri"/>
          <w:b/>
          <w:bCs/>
          <w:color w:val="14161B"/>
          <w:sz w:val="20"/>
          <w:szCs w:val="20"/>
        </w:rPr>
        <w:t xml:space="preserve">Read the exclusions, not the schedule</w:t>
      </w:r>
    </w:p>
    <w:p>
      <w:pPr>
        <w:spacing w:after="60" w:line="264"/>
        <w:jc w:val="both"/>
      </w:pPr>
      <w:r>
        <w:rPr>
          <w:rFonts w:ascii="Calibri" w:cs="Calibri" w:eastAsia="Calibri" w:hAnsi="Calibri"/>
          <w:sz w:val="19"/>
          <w:szCs w:val="19"/>
        </w:rPr>
        <w:t xml:space="preserve">The schedule tells you what you bought; the exclusions tell you where the cover stops. Businesses grow into exclusions — a new activity, a new material, a new type of client — without anyone rereading the policy.</w:t>
      </w:r>
    </w:p>
    <w:p>
      <w:pPr>
        <w:keepNext/>
        <w:spacing w:after="40" w:before="140"/>
      </w:pPr>
      <w:r>
        <w:rPr>
          <w:rFonts w:ascii="Calibri" w:cs="Calibri" w:eastAsia="Calibri" w:hAnsi="Calibri"/>
          <w:b/>
          <w:bCs/>
          <w:color w:val="14161B"/>
          <w:sz w:val="20"/>
          <w:szCs w:val="20"/>
        </w:rPr>
        <w:t xml:space="preserve">Match covered activities to the licence and reality</w:t>
      </w:r>
    </w:p>
    <w:p>
      <w:pPr>
        <w:spacing w:after="60" w:line="264"/>
        <w:jc w:val="both"/>
      </w:pPr>
      <w:r>
        <w:rPr>
          <w:rFonts w:ascii="Calibri" w:cs="Calibri" w:eastAsia="Calibri" w:hAnsi="Calibri"/>
          <w:sz w:val="19"/>
          <w:szCs w:val="19"/>
        </w:rPr>
        <w:t xml:space="preserve">Cover written for the original licensed activity may not respond to what the business now does. This is the same drift that affects the trade licence itself, and the annual review should check both together.</w:t>
      </w:r>
    </w:p>
    <w:p>
      <w:pPr>
        <w:keepNext/>
        <w:spacing w:after="40" w:before="140"/>
      </w:pPr>
      <w:r>
        <w:rPr>
          <w:rFonts w:ascii="Calibri" w:cs="Calibri" w:eastAsia="Calibri" w:hAnsi="Calibri"/>
          <w:b/>
          <w:bCs/>
          <w:color w:val="14161B"/>
          <w:sz w:val="20"/>
          <w:szCs w:val="20"/>
        </w:rPr>
        <w:t xml:space="preserve">Notify early, even when unsure</w:t>
      </w:r>
    </w:p>
    <w:p>
      <w:pPr>
        <w:spacing w:after="60" w:line="264"/>
        <w:jc w:val="both"/>
      </w:pPr>
      <w:r>
        <w:rPr>
          <w:rFonts w:ascii="Calibri" w:cs="Calibri" w:eastAsia="Calibri" w:hAnsi="Calibri"/>
          <w:sz w:val="19"/>
          <w:szCs w:val="19"/>
        </w:rPr>
        <w:t xml:space="preserve">Late notification is the most common reason a valid claim is refused. Notifying a circumstance that may develop into a claim costs nothing and preserves the position. Waiting to see whether it becomes serious is how cover is lost.</w:t>
      </w:r>
    </w:p>
    <w:p>
      <w:pPr>
        <w:keepNext/>
        <w:spacing w:after="40" w:before="140"/>
      </w:pPr>
      <w:r>
        <w:rPr>
          <w:rFonts w:ascii="Calibri" w:cs="Calibri" w:eastAsia="Calibri" w:hAnsi="Calibri"/>
          <w:b/>
          <w:bCs/>
          <w:color w:val="14161B"/>
          <w:sz w:val="20"/>
          <w:szCs w:val="20"/>
        </w:rPr>
        <w:t xml:space="preserve">Do not admit liability</w:t>
      </w:r>
    </w:p>
    <w:p>
      <w:pPr>
        <w:spacing w:after="60" w:line="264"/>
        <w:jc w:val="both"/>
      </w:pPr>
      <w:r>
        <w:rPr>
          <w:rFonts w:ascii="Calibri" w:cs="Calibri" w:eastAsia="Calibri" w:hAnsi="Calibri"/>
          <w:sz w:val="19"/>
          <w:szCs w:val="19"/>
        </w:rPr>
        <w:t xml:space="preserve">Admitting fault, or settling without the insurer’s consent, can void cover entirely. Being decent to an injured employee and admitting legal liability are different things — provide care and support, and leave the liability question to the insurer.</w:t>
      </w:r>
    </w:p>
    <w:p>
      <w:pPr>
        <w:keepNext/>
        <w:spacing w:after="40" w:before="140"/>
      </w:pPr>
      <w:r>
        <w:rPr>
          <w:rFonts w:ascii="Calibri" w:cs="Calibri" w:eastAsia="Calibri" w:hAnsi="Calibri"/>
          <w:b/>
          <w:bCs/>
          <w:color w:val="14161B"/>
          <w:sz w:val="20"/>
          <w:szCs w:val="20"/>
        </w:rPr>
        <w:t xml:space="preserve">Preserve the scene before remediating</w:t>
      </w:r>
    </w:p>
    <w:p>
      <w:pPr>
        <w:spacing w:after="60" w:line="264"/>
        <w:jc w:val="both"/>
      </w:pPr>
      <w:r>
        <w:rPr>
          <w:rFonts w:ascii="Calibri" w:cs="Calibri" w:eastAsia="Calibri" w:hAnsi="Calibri"/>
          <w:sz w:val="19"/>
          <w:szCs w:val="19"/>
        </w:rPr>
        <w:t xml:space="preserve">Clearing up before recording what happened destroys the evidence the insurer, the authorities and any investigation will need. Make it safe, record it, then clear.</w:t>
      </w:r>
    </w:p>
    <w:p>
      <w:pPr>
        <w:keepNext/>
        <w:spacing w:after="40" w:before="140"/>
      </w:pPr>
      <w:r>
        <w:rPr>
          <w:rFonts w:ascii="Calibri" w:cs="Calibri" w:eastAsia="Calibri" w:hAnsi="Calibri"/>
          <w:b/>
          <w:bCs/>
          <w:color w:val="14161B"/>
          <w:sz w:val="20"/>
          <w:szCs w:val="20"/>
        </w:rPr>
        <w:t xml:space="preserve">Understand claims made versus occurrence</w:t>
      </w:r>
    </w:p>
    <w:p>
      <w:pPr>
        <w:spacing w:after="60" w:line="264"/>
        <w:jc w:val="both"/>
      </w:pPr>
      <w:r>
        <w:rPr>
          <w:rFonts w:ascii="Calibri" w:cs="Calibri" w:eastAsia="Calibri" w:hAnsi="Calibri"/>
          <w:sz w:val="19"/>
          <w:szCs w:val="19"/>
        </w:rPr>
        <w:t xml:space="preserve">Professional indemnity is usually written on a claims made basis, responding to claims notified during the policy period regardless of when the work was done — subject to a retroactive date. That makes run-off cover essential when a business closes or changes insurer.</w:t>
      </w:r>
    </w:p>
    <w:p>
      <w:pPr>
        <w:keepNext/>
        <w:spacing w:after="40" w:before="140"/>
      </w:pPr>
      <w:r>
        <w:rPr>
          <w:rFonts w:ascii="Calibri" w:cs="Calibri" w:eastAsia="Calibri" w:hAnsi="Calibri"/>
          <w:b/>
          <w:bCs/>
          <w:color w:val="14161B"/>
          <w:sz w:val="20"/>
          <w:szCs w:val="20"/>
        </w:rPr>
        <w:t xml:space="preserve">Buy run-off when you close or exit</w:t>
      </w:r>
    </w:p>
    <w:p>
      <w:pPr>
        <w:spacing w:after="60" w:line="264"/>
        <w:jc w:val="both"/>
      </w:pPr>
      <w:r>
        <w:rPr>
          <w:rFonts w:ascii="Calibri" w:cs="Calibri" w:eastAsia="Calibri" w:hAnsi="Calibri"/>
          <w:sz w:val="19"/>
          <w:szCs w:val="19"/>
        </w:rPr>
        <w:t xml:space="preserve">Ceasing to trade does not end exposure for past work. Where professional indemnity is claims made, cover must continue after the business stops for claims to be met. This is routinely forgotten in an otherwise orderly closure.</w:t>
      </w:r>
    </w:p>
    <w:p>
      <w:pPr>
        <w:keepNext/>
        <w:spacing w:after="40" w:before="140"/>
      </w:pPr>
      <w:r>
        <w:rPr>
          <w:rFonts w:ascii="Calibri" w:cs="Calibri" w:eastAsia="Calibri" w:hAnsi="Calibri"/>
          <w:b/>
          <w:bCs/>
          <w:color w:val="14161B"/>
          <w:sz w:val="20"/>
          <w:szCs w:val="20"/>
        </w:rPr>
        <w:t xml:space="preserve">Check limits against a realistic claim</w:t>
      </w:r>
    </w:p>
    <w:p>
      <w:pPr>
        <w:spacing w:after="60" w:line="264"/>
        <w:jc w:val="both"/>
      </w:pPr>
      <w:r>
        <w:rPr>
          <w:rFonts w:ascii="Calibri" w:cs="Calibri" w:eastAsia="Calibri" w:hAnsi="Calibri"/>
          <w:sz w:val="19"/>
          <w:szCs w:val="19"/>
        </w:rPr>
        <w:t xml:space="preserve">Limits set at incorporation reflect the business as it was. A limit that looked generous against a first-year revenue looks thin against a mature contract, and the gap is only discovered at claim time.</w:t>
      </w:r>
    </w:p>
    <w:p>
      <w:pPr>
        <w:keepNext/>
        <w:spacing w:after="40" w:before="140"/>
      </w:pPr>
      <w:r>
        <w:rPr>
          <w:rFonts w:ascii="Calibri" w:cs="Calibri" w:eastAsia="Calibri" w:hAnsi="Calibri"/>
          <w:b/>
          <w:bCs/>
          <w:color w:val="14161B"/>
          <w:sz w:val="20"/>
          <w:szCs w:val="20"/>
        </w:rPr>
        <w:t xml:space="preserve">Watch the aggregate limit</w:t>
      </w:r>
    </w:p>
    <w:p>
      <w:pPr>
        <w:spacing w:after="60" w:line="264"/>
        <w:jc w:val="both"/>
      </w:pPr>
      <w:r>
        <w:rPr>
          <w:rFonts w:ascii="Calibri" w:cs="Calibri" w:eastAsia="Calibri" w:hAnsi="Calibri"/>
          <w:sz w:val="19"/>
          <w:szCs w:val="19"/>
        </w:rPr>
        <w:t xml:space="preserve">A limit expressed in aggregate can be exhausted by earlier claims in the same period, leaving nothing for a later one. Where several claims are plausible, aggregate limits matter more than the per-claim figure.</w:t>
      </w:r>
    </w:p>
    <w:p>
      <w:pPr>
        <w:keepNext/>
        <w:spacing w:after="40" w:before="140"/>
      </w:pPr>
      <w:r>
        <w:rPr>
          <w:rFonts w:ascii="Calibri" w:cs="Calibri" w:eastAsia="Calibri" w:hAnsi="Calibri"/>
          <w:b/>
          <w:bCs/>
          <w:color w:val="14161B"/>
          <w:sz w:val="20"/>
          <w:szCs w:val="20"/>
        </w:rPr>
        <w:t xml:space="preserve">Check the subcontractor position</w:t>
      </w:r>
    </w:p>
    <w:p>
      <w:pPr>
        <w:spacing w:after="60" w:line="264"/>
        <w:jc w:val="both"/>
      </w:pPr>
      <w:r>
        <w:rPr>
          <w:rFonts w:ascii="Calibri" w:cs="Calibri" w:eastAsia="Calibri" w:hAnsi="Calibri"/>
          <w:sz w:val="19"/>
          <w:szCs w:val="19"/>
        </w:rPr>
        <w:t xml:space="preserve">Where work is subcontracted, confirm whether your policy responds to their acts and whether they carry their own cover at an adequate limit. Requiring evidence of their insurance is part of engaging them, not an afterthought.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Health insurance requirements and minimum benefits differ by emirate and change, work injury compensation requirements are amended, and licence conditions for regulated activities vary — confirm the current position with the relevant health authority, MOHRE and your broker, and take advice on cover required by contract.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2026-08-23T16:28:35.270Z</dcterms:created>
  <dcterms:modified xsi:type="dcterms:W3CDTF">2026-08-23T16:28:35.270Z</dcterms:modified>
</cp:coreProperties>
</file>

<file path=docProps/custom.xml><?xml version="1.0" encoding="utf-8"?>
<Properties xmlns="http://schemas.openxmlformats.org/officeDocument/2006/custom-properties" xmlns:vt="http://schemas.openxmlformats.org/officeDocument/2006/docPropsVTypes"/>
</file>