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40"/>
        <w:jc w:val="center"/>
      </w:pPr>
      <w:r>
        <w:rPr>
          <w:rFonts w:ascii="Calibri" w:cs="Calibri" w:eastAsia="Calibri" w:hAnsi="Calibri"/>
          <w:b/>
          <w:bCs/>
          <w:color w:val="14161B"/>
          <w:spacing w:val="12"/>
          <w:sz w:val="28"/>
          <w:szCs w:val="28"/>
        </w:rPr>
        <w:t xml:space="preserve">BUSINESS CONDUCT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6E7480"/>
          <w:sz w:val="19"/>
          <w:szCs w:val="19"/>
        </w:rPr>
        <w:t xml:space="preserve">Anti-bribery, gifts, conflicts and sanctions</w:t>
      </w:r>
    </w:p>
    <w:p>
      <w:pPr>
        <w:spacing w:after="180" w:before="0" w:line="276"/>
        <w:jc w:val="both"/>
      </w:pP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The UAE criminalises bribery of public officials and commercial bribery between private parties, and a company operating here may also be caught by </w:t>
      </w:r>
      <w:r>
        <w:rPr>
          <w:rFonts w:ascii="Calibri" w:cs="Calibri" w:eastAsia="Calibri" w:hAnsi="Calibri"/>
          <w:b/>
          <w:bCs/>
          <w:i/>
          <w:iCs/>
          <w:color w:val="6E7480"/>
          <w:sz w:val="21"/>
          <w:szCs w:val="21"/>
        </w:rPr>
        <w:t xml:space="preserve">foreign legislation with extraterritorial reach</w:t>
      </w:r>
      <w:r>
        <w:rPr>
          <w:rFonts w:ascii="Calibri" w:cs="Calibri" w:eastAsia="Calibri" w:hAnsi="Calibri"/>
          <w:i/>
          <w:iCs/>
          <w:color w:val="6E7480"/>
          <w:sz w:val="21"/>
          <w:szCs w:val="21"/>
        </w:rPr>
        <w:t xml:space="preserve"> — UK, US and others — through its investors, banks, customers or group. Assume more than one regime applies.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662"/>
        <w:gridCol w:w="5976"/>
      </w:tblGrid>
      <w:tr>
        <w:trPr>
          <w:cantSplit/>
          <w:tblHeader/>
        </w:trPr>
        <w:tc>
          <w:tcPr>
            <w:tcW w:type="dxa" w:w="366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Item</w:t>
            </w:r>
          </w:p>
        </w:tc>
        <w:tc>
          <w:tcPr>
            <w:tcW w:type="dxa" w:w="59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Detail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Company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[COMPANY 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licence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[NUMBER]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Applies to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Employees, managers, contractors, agents and intermediaries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Compliance contact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[EMAIL]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Gift and hospitality threshold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AED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[AMOUNT]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 — above this, approval required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Register held by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[ROLE]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Foreign regimes potentially applicable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[UK Bribery Act / US FCPA / other — assess]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Approved by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[NAME]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[DESIGNATION]</w:t>
            </w:r>
            <w:r>
              <w:rPr>
                <w:rFonts w:ascii="Calibri" w:cs="Calibri" w:eastAsia="Calibri" w:hAnsi="Calibri"/>
                <w:sz w:val="19"/>
                <w:szCs w:val="19"/>
              </w:rPr>
              <w:t xml:space="preserve">, on </w:t>
            </w: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36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Review</w:t>
            </w:r>
          </w:p>
        </w:tc>
        <w:tc>
          <w:tcPr>
            <w:tcW w:type="dxa" w:w="59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Annually</w:t>
            </w:r>
          </w:p>
        </w:tc>
      </w:tr>
    </w:tbl>
    <w:p>
      <w:pPr>
        <w:spacing w:after="180"/>
      </w:pP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1. THE RULES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1.1	</w:t>
      </w:r>
      <w:r>
        <w:rPr>
          <w:rFonts w:ascii="Calibri" w:cs="Calibri" w:eastAsia="Calibri" w:hAnsi="Calibri"/>
          <w:sz w:val="21"/>
          <w:szCs w:val="21"/>
        </w:rPr>
        <w:t xml:space="preserve">No one acting for the Company shall offer, promise, give, request or accept any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financial or other advantage</w:t>
      </w:r>
      <w:r>
        <w:rPr>
          <w:rFonts w:ascii="Calibri" w:cs="Calibri" w:eastAsia="Calibri" w:hAnsi="Calibri"/>
          <w:sz w:val="21"/>
          <w:szCs w:val="21"/>
        </w:rPr>
        <w:t xml:space="preserve"> intended to induce or reward improper performance of a function.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1.2	</w:t>
      </w:r>
      <w:r>
        <w:rPr>
          <w:rFonts w:ascii="Calibri" w:cs="Calibri" w:eastAsia="Calibri" w:hAnsi="Calibri"/>
          <w:sz w:val="21"/>
          <w:szCs w:val="21"/>
        </w:rPr>
        <w:t xml:space="preserve">This applies whether the other person is a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public official or a private party</w:t>
      </w:r>
      <w:r>
        <w:rPr>
          <w:rFonts w:ascii="Calibri" w:cs="Calibri" w:eastAsia="Calibri" w:hAnsi="Calibri"/>
          <w:sz w:val="21"/>
          <w:szCs w:val="21"/>
        </w:rPr>
        <w:t xml:space="preserve">, and whether the advantage is offered directly or through an intermediary.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1.3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Facilitation payments</w:t>
      </w:r>
      <w:r>
        <w:rPr>
          <w:rFonts w:ascii="Calibri" w:cs="Calibri" w:eastAsia="Calibri" w:hAnsi="Calibri"/>
          <w:sz w:val="21"/>
          <w:szCs w:val="21"/>
        </w:rPr>
        <w:t xml:space="preserve"> — small payments to speed up a routine process someone is already obliged to perform — are prohibited, however normal they may appear.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1.4	</w:t>
      </w:r>
      <w:r>
        <w:rPr>
          <w:rFonts w:ascii="Calibri" w:cs="Calibri" w:eastAsia="Calibri" w:hAnsi="Calibri"/>
          <w:sz w:val="21"/>
          <w:szCs w:val="21"/>
        </w:rPr>
        <w:t xml:space="preserve">The prohibition applies to anything of value: cash, gifts, hospitality, travel, employment for a relative, a charitable donation directed by a counterparty, or a business favour.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1.5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Never make a payment to avoid a fine, expedite a permit, or influence an inspection.</w:t>
      </w:r>
      <w:r>
        <w:rPr>
          <w:rFonts w:ascii="Calibri" w:cs="Calibri" w:eastAsia="Calibri" w:hAnsi="Calibri"/>
          <w:sz w:val="21"/>
          <w:szCs w:val="21"/>
        </w:rPr>
        <w:t xml:space="preserve"> Where a demand is made, refuse and report it to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[ROLE]</w:t>
      </w:r>
      <w:r>
        <w:rPr>
          <w:rFonts w:ascii="Calibri" w:cs="Calibri" w:eastAsia="Calibri" w:hAnsi="Calibri"/>
          <w:sz w:val="21"/>
          <w:szCs w:val="21"/>
        </w:rPr>
        <w:t xml:space="preserve"> immediately.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1.6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Where a payment is genuinely extorted under threat to personal safety, protect the person first, then report it immediately and record the circumstances in full.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2. GIFTS AND HOSPITALITY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5"/>
        <w:gridCol w:w="5783"/>
      </w:tblGrid>
      <w:tr>
        <w:trPr>
          <w:cantSplit/>
          <w:tblHeader/>
        </w:trPr>
        <w:tc>
          <w:tcPr>
            <w:tcW w:type="dxa" w:w="385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Situation</w:t>
            </w:r>
          </w:p>
        </w:tc>
        <w:tc>
          <w:tcPr>
            <w:tcW w:type="dxa" w:w="5783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Position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Modest gift at a customary occasion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Acceptable — record if above the threshold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Meal with a business counterparty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Acceptable if proportionate and not lavish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Anything to or from a public official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Approval required before offering or accepting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Cash or cash equivalent, any amount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Never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Gift or hospitality during a tender, negotiation or dispute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Never</w:t>
            </w:r>
            <w:r>
              <w:rPr>
                <w:rFonts w:ascii="Calibri" w:cs="Calibri" w:eastAsia="Calibri" w:hAnsi="Calibri"/>
                <w:sz w:val="18"/>
                <w:szCs w:val="18"/>
              </w:rPr>
              <w:t xml:space="preserve"> — timing alone makes it improper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Travel or accommodation paid for a counterparty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Approval required; must have a genuine business purpose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Repeated gifts from the same source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Report — the pattern matters more than each item</w:t>
            </w:r>
          </w:p>
        </w:tc>
      </w:tr>
      <w:tr>
        <w:trPr>
          <w:cantSplit/>
        </w:trPr>
        <w:tc>
          <w:tcPr>
            <w:tcW w:type="dxa" w:w="385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Gift to a family member of a counterparty</w:t>
            </w:r>
          </w:p>
        </w:tc>
        <w:tc>
          <w:tcPr>
            <w:tcW w:type="dxa" w:w="5783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Treated as a gift to the counterparty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2.1	</w:t>
      </w:r>
      <w:r>
        <w:rPr>
          <w:rFonts w:ascii="Calibri" w:cs="Calibri" w:eastAsia="Calibri" w:hAnsi="Calibri"/>
          <w:sz w:val="21"/>
          <w:szCs w:val="21"/>
        </w:rPr>
        <w:t xml:space="preserve">Gifts and hospitality given or received above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AED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[AMOUNT]</w:t>
      </w:r>
      <w:r>
        <w:rPr>
          <w:rFonts w:ascii="Calibri" w:cs="Calibri" w:eastAsia="Calibri" w:hAnsi="Calibri"/>
          <w:sz w:val="21"/>
          <w:szCs w:val="21"/>
        </w:rPr>
        <w:t xml:space="preserve"> require prior approval from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[ROLE]</w:t>
      </w:r>
      <w:r>
        <w:rPr>
          <w:rFonts w:ascii="Calibri" w:cs="Calibri" w:eastAsia="Calibri" w:hAnsi="Calibri"/>
          <w:sz w:val="21"/>
          <w:szCs w:val="21"/>
        </w:rPr>
        <w:t xml:space="preserve"> and must be entered in the register.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2.2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The timing test is the most useful one. A gift that would be unremarkable in an ordinary month is improper during a tender, a negotiation or a dispute. If you would not want the counterparty’s competitor to know about it, do not do it.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3. INTERMEDIARIES AND AGENTS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3.1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A company is exposed to what its agents do on its behalf.</w:t>
      </w:r>
      <w:r>
        <w:rPr>
          <w:rFonts w:ascii="Calibri" w:cs="Calibri" w:eastAsia="Calibri" w:hAnsi="Calibri"/>
          <w:sz w:val="21"/>
          <w:szCs w:val="21"/>
        </w:rPr>
        <w:t xml:space="preserve"> Sponsors, consultants, agents, distributors, PROs, freight forwarders and introducers all act in the Company’s name.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481"/>
        <w:gridCol w:w="7517"/>
        <w:gridCol w:w="1640"/>
      </w:tblGrid>
      <w:tr>
        <w:trPr>
          <w:cantSplit/>
          <w:tblHeader/>
        </w:trPr>
        <w:tc>
          <w:tcPr>
            <w:tcW w:type="dxa" w:w="481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#</w:t>
            </w:r>
          </w:p>
        </w:tc>
        <w:tc>
          <w:tcPr>
            <w:tcW w:type="dxa" w:w="7517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Before appointing</w:t>
            </w:r>
          </w:p>
        </w:tc>
        <w:tc>
          <w:tcPr>
            <w:tcW w:type="dxa" w:w="164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Confirmed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Due diligence on the intermediary and its ownership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Any connection to a public official identified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Fee is proportionate to the service actually provided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Services are defined in writing and are real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Written contract with anti-bribery obligations and audit rights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Payment to the intermediary’s own account, in its own jurisdiction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7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No cash payments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8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Invoices describe the actual service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9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Right to terminate for a breach of the anti-bribery obligations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  <w:tr>
        <w:trPr>
          <w:cantSplit/>
        </w:trPr>
        <w:tc>
          <w:tcPr>
            <w:tcW w:type="dxa" w:w="481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</w:t>
            </w:r>
          </w:p>
        </w:tc>
        <w:tc>
          <w:tcPr>
            <w:tcW w:type="dxa" w:w="7517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Periodic review of the relationship</w:t>
            </w:r>
          </w:p>
        </w:tc>
        <w:tc>
          <w:tcPr>
            <w:tcW w:type="dxa" w:w="164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[Y/N]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3.2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A success fee far above market for vaguely described "consultancy" or "government relations", paid to an account in a third country, is the classic pattern. Each element alone may be innocent; together they are the thing every investigator looks for.</w:t>
      </w:r>
    </w:p>
    <w:p>
      <w:pPr>
        <w:spacing w:after="0" w:before="0" w:line="1"/>
      </w:pPr>
      <w:r>
        <w:br w:type="page"/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4. CONFLICTS OF INTEREST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4.1	</w:t>
      </w:r>
      <w:r>
        <w:rPr>
          <w:rFonts w:ascii="Calibri" w:cs="Calibri" w:eastAsia="Calibri" w:hAnsi="Calibri"/>
          <w:sz w:val="21"/>
          <w:szCs w:val="21"/>
        </w:rPr>
        <w:t xml:space="preserve">Anyone acting for the Company shall disclose in writing to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[ROLE]</w:t>
      </w:r>
      <w:r>
        <w:rPr>
          <w:rFonts w:ascii="Calibri" w:cs="Calibri" w:eastAsia="Calibri" w:hAnsi="Calibri"/>
          <w:sz w:val="21"/>
          <w:szCs w:val="21"/>
        </w:rPr>
        <w:t xml:space="preserve"> any interest that conflicts, or might appear to conflict, with the Company’s interests.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276"/>
        <w:gridCol w:w="6362"/>
      </w:tblGrid>
      <w:tr>
        <w:trPr>
          <w:cantSplit/>
          <w:tblHeader/>
        </w:trPr>
        <w:tc>
          <w:tcPr>
            <w:tcW w:type="dxa" w:w="327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Disclose</w:t>
            </w:r>
          </w:p>
        </w:tc>
        <w:tc>
          <w:tcPr>
            <w:tcW w:type="dxa" w:w="6362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Examples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Financial interest in a counterparty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Shareholding, loan, commission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Family or close relationship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Relative at a supplier, customer or competitor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Outside employment or directorship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Including unpaid roles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Personal benefit from a Company decision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Awarding a contract to a connected business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Recruitment of a relative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Disclose and step out of the decision</w:t>
            </w:r>
          </w:p>
        </w:tc>
      </w:tr>
      <w:tr>
        <w:trPr>
          <w:cantSplit/>
        </w:trPr>
        <w:tc>
          <w:tcPr>
            <w:tcW w:type="dxa" w:w="327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Post-employment arrangements</w:t>
            </w:r>
          </w:p>
        </w:tc>
        <w:tc>
          <w:tcPr>
            <w:tcW w:type="dxa" w:w="6362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A job offer from a party you are negotiating with</w:t>
            </w:r>
          </w:p>
        </w:tc>
      </w:tr>
    </w:tbl>
    <w:p>
      <w:pPr>
        <w:spacing w:after="140"/>
      </w:pP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4.2	</w:t>
      </w:r>
      <w:r>
        <w:rPr>
          <w:rFonts w:ascii="Calibri" w:cs="Calibri" w:eastAsia="Calibri" w:hAnsi="Calibri"/>
          <w:sz w:val="21"/>
          <w:szCs w:val="21"/>
        </w:rPr>
        <w:t xml:space="preserve">A person with a conflict shall take no part in the decision concerned.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4.3	</w:t>
      </w:r>
      <w:r>
        <w:rPr>
          <w:rFonts w:ascii="Calibri" w:cs="Calibri" w:eastAsia="Calibri" w:hAnsi="Calibri"/>
          <w:sz w:val="21"/>
          <w:szCs w:val="21"/>
        </w:rPr>
        <w:t xml:space="preserve">Disclosure is recorded in the conflicts register and reviewed by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[ROLE]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5. SANCTIONS, AML AND RECORDS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5.1	</w:t>
      </w:r>
      <w:r>
        <w:rPr>
          <w:rFonts w:ascii="Calibri" w:cs="Calibri" w:eastAsia="Calibri" w:hAnsi="Calibri"/>
          <w:sz w:val="21"/>
          <w:szCs w:val="21"/>
        </w:rPr>
        <w:t xml:space="preserve">The Company shall not deal with a person, entity or jurisdiction subject to applicable sanctions, and screens counterparties before onboarding and periodically thereafter.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5.2	</w:t>
      </w:r>
      <w:r>
        <w:rPr>
          <w:rFonts w:ascii="Calibri" w:cs="Calibri" w:eastAsia="Calibri" w:hAnsi="Calibri"/>
          <w:sz w:val="21"/>
          <w:szCs w:val="21"/>
        </w:rPr>
        <w:t xml:space="preserve">Where the Company is a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designated non-financial business</w:t>
      </w:r>
      <w:r>
        <w:rPr>
          <w:rFonts w:ascii="Calibri" w:cs="Calibri" w:eastAsia="Calibri" w:hAnsi="Calibri"/>
          <w:sz w:val="21"/>
          <w:szCs w:val="21"/>
        </w:rPr>
        <w:t xml:space="preserve">, the full anti-money-laundering framework applies, including goAML registration and suspicious transaction reporting.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Tipping off is an offence.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5.3	</w:t>
      </w:r>
      <w:r>
        <w:rPr>
          <w:rFonts w:ascii="Calibri" w:cs="Calibri" w:eastAsia="Calibri" w:hAnsi="Calibri"/>
          <w:sz w:val="21"/>
          <w:szCs w:val="21"/>
        </w:rPr>
        <w:t xml:space="preserve">All payments shall be recorded accurately in the accounting records.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No off-book account, unrecorded fund or false invoice may be created for any purpose.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5.4	</w:t>
      </w:r>
      <w:r>
        <w:rPr>
          <w:rFonts w:ascii="Calibri" w:cs="Calibri" w:eastAsia="Calibri" w:hAnsi="Calibri"/>
          <w:sz w:val="21"/>
          <w:szCs w:val="21"/>
        </w:rPr>
        <w:t xml:space="preserve">Records are retained for the statutory period and produced to auditors and authorities on request.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6. REPORTING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6.1	</w:t>
      </w:r>
      <w:r>
        <w:rPr>
          <w:rFonts w:ascii="Calibri" w:cs="Calibri" w:eastAsia="Calibri" w:hAnsi="Calibri"/>
          <w:sz w:val="21"/>
          <w:szCs w:val="21"/>
        </w:rPr>
        <w:t xml:space="preserve">Anyone who suspects a breach shall report it to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[ROLE]</w:t>
      </w:r>
      <w:r>
        <w:rPr>
          <w:rFonts w:ascii="Calibri" w:cs="Calibri" w:eastAsia="Calibri" w:hAnsi="Calibri"/>
          <w:sz w:val="21"/>
          <w:szCs w:val="21"/>
        </w:rPr>
        <w:t xml:space="preserve"> at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[EMAIL]</w:t>
      </w:r>
      <w:r>
        <w:rPr>
          <w:rFonts w:ascii="Calibri" w:cs="Calibri" w:eastAsia="Calibri" w:hAnsi="Calibri"/>
          <w:sz w:val="21"/>
          <w:szCs w:val="21"/>
        </w:rPr>
        <w:t xml:space="preserve">, or to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[ALTERNATIVE]</w:t>
      </w:r>
      <w:r>
        <w:rPr>
          <w:rFonts w:ascii="Calibri" w:cs="Calibri" w:eastAsia="Calibri" w:hAnsi="Calibri"/>
          <w:sz w:val="21"/>
          <w:szCs w:val="21"/>
        </w:rPr>
        <w:t xml:space="preserve"> where that is not appropriate.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6.2	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The Company will not retaliate against anyone who reports a genuine concern.</w:t>
      </w:r>
      <w:r>
        <w:rPr>
          <w:rFonts w:ascii="Calibri" w:cs="Calibri" w:eastAsia="Calibri" w:hAnsi="Calibri"/>
          <w:sz w:val="21"/>
          <w:szCs w:val="21"/>
        </w:rPr>
        <w:t xml:space="preserve"> Dismissal because an employee raised a legitimate concern may amount to arbitrary dismissal.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6.3	</w:t>
      </w:r>
      <w:r>
        <w:rPr>
          <w:rFonts w:ascii="Calibri" w:cs="Calibri" w:eastAsia="Calibri" w:hAnsi="Calibri"/>
          <w:sz w:val="21"/>
          <w:szCs w:val="21"/>
        </w:rPr>
        <w:t xml:space="preserve">Reports may be made confidentially and, so far as the investigation permits, the reporter’s identity will be protected.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6.4	</w:t>
      </w:r>
      <w:r>
        <w:rPr>
          <w:rFonts w:ascii="Calibri" w:cs="Calibri" w:eastAsia="Calibri" w:hAnsi="Calibri"/>
          <w:sz w:val="21"/>
          <w:szCs w:val="21"/>
        </w:rPr>
        <w:t xml:space="preserve">Refusing to pay a bribe will never disadvantage anyone at the Company, </w:t>
      </w:r>
      <w:r>
        <w:rPr>
          <w:rFonts w:ascii="Calibri" w:cs="Calibri" w:eastAsia="Calibri" w:hAnsi="Calibri"/>
          <w:b/>
          <w:bCs/>
          <w:sz w:val="21"/>
          <w:szCs w:val="21"/>
        </w:rPr>
        <w:t xml:space="preserve">even where business is lost as a result</w:t>
      </w:r>
      <w:r>
        <w:rPr>
          <w:rFonts w:ascii="Calibri" w:cs="Calibri" w:eastAsia="Calibri" w:hAnsi="Calibri"/>
          <w:sz w:val="21"/>
          <w:szCs w:val="21"/>
        </w:rPr>
        <w:t xml:space="preserve">.</w:t>
      </w:r>
    </w:p>
    <w:p>
      <w:pPr>
        <w:spacing w:after="120" w:before="60" w:line="276"/>
        <w:ind w:left="720" w:hanging="720"/>
        <w:jc w:val="both"/>
      </w:pPr>
      <w:r>
        <w:rPr>
          <w:rFonts w:ascii="Calibri" w:cs="Calibri" w:eastAsia="Calibri" w:hAnsi="Calibri"/>
          <w:sz w:val="21"/>
          <w:szCs w:val="21"/>
        </w:rPr>
        <w:t xml:space="preserve">6.5	</w:t>
      </w:r>
      <w:r>
        <w:rPr>
          <w:rFonts w:ascii="Calibri" w:cs="Calibri" w:eastAsia="Calibri" w:hAnsi="Calibri"/>
          <w:i/>
          <w:iCs/>
          <w:sz w:val="21"/>
          <w:szCs w:val="21"/>
        </w:rPr>
        <w:t xml:space="preserve">Clause 6.4 is the one that decides whether the policy works. If a salesperson believes losing a deal for refusing a payment will count against them, the policy is decoration.</w:t>
      </w:r>
    </w:p>
    <w:p>
      <w:pPr>
        <w:keepNext/>
        <w:spacing w:after="120" w:before="280"/>
        <w:outlineLvl w:val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7. REGISTERS</w:t>
      </w:r>
    </w:p>
    <w:tbl>
      <w:tblPr>
        <w:tblW w:type="dxa" w:w="9638"/>
        <w:tblBorders>
          <w:top w:val="single" w:color="B9BEC8" w:sz="4"/>
          <w:left w:val="single" w:color="B9BEC8" w:sz="4"/>
          <w:bottom w:val="single" w:color="B9BEC8" w:sz="4"/>
          <w:right w:val="single" w:color="B9BEC8" w:sz="4"/>
          <w:insideH w:val="single" w:color="D3D7DF" w:sz="2"/>
          <w:insideV w:val="single" w:color="D3D7DF" w:sz="2"/>
        </w:tblBorders>
      </w:tblPr>
      <w:tblGrid>
        <w:gridCol w:w="385"/>
        <w:gridCol w:w="1060"/>
        <w:gridCol w:w="1445"/>
        <w:gridCol w:w="1349"/>
        <w:gridCol w:w="1445"/>
        <w:gridCol w:w="1156"/>
        <w:gridCol w:w="1349"/>
        <w:gridCol w:w="1449"/>
      </w:tblGrid>
      <w:tr>
        <w:trPr>
          <w:cantSplit/>
          <w:tblHeader/>
        </w:trPr>
        <w:tc>
          <w:tcPr>
            <w:tcW w:type="dxa" w:w="38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#</w:t>
            </w:r>
          </w:p>
        </w:tc>
        <w:tc>
          <w:tcPr>
            <w:tcW w:type="dxa" w:w="1060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Date</w:t>
            </w:r>
          </w:p>
        </w:tc>
        <w:tc>
          <w:tcPr>
            <w:tcW w:type="dxa" w:w="144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Type</w:t>
            </w:r>
          </w:p>
        </w:tc>
        <w:tc>
          <w:tcPr>
            <w:tcW w:type="dxa" w:w="134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Person</w:t>
            </w:r>
          </w:p>
        </w:tc>
        <w:tc>
          <w:tcPr>
            <w:tcW w:type="dxa" w:w="1445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Counterparty</w:t>
            </w:r>
          </w:p>
        </w:tc>
        <w:tc>
          <w:tcPr>
            <w:tcW w:type="dxa" w:w="1156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Value (AED)</w:t>
            </w:r>
          </w:p>
        </w:tc>
        <w:tc>
          <w:tcPr>
            <w:tcW w:type="dxa" w:w="134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Approved by</w:t>
            </w:r>
          </w:p>
        </w:tc>
        <w:tc>
          <w:tcPr>
            <w:tcW w:type="dxa" w:w="1449"/>
            <w:shd w:fill="EEF1F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Notes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1</w:t>
            </w:r>
          </w:p>
        </w:tc>
        <w:tc>
          <w:tcPr>
            <w:tcW w:type="dxa" w:w="106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[Gift given]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15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[AMOUNT]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4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[DETAIL]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2</w:t>
            </w:r>
          </w:p>
        </w:tc>
        <w:tc>
          <w:tcPr>
            <w:tcW w:type="dxa" w:w="106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[Hospitality received]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15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[AMOUNT]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4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[DETAIL]</w:t>
            </w:r>
          </w:p>
        </w:tc>
      </w:tr>
      <w:tr>
        <w:trPr>
          <w:cantSplit/>
        </w:trPr>
        <w:tc>
          <w:tcPr>
            <w:tcW w:type="dxa" w:w="38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3</w:t>
            </w:r>
          </w:p>
        </w:tc>
        <w:tc>
          <w:tcPr>
            <w:tcW w:type="dxa" w:w="106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[DATE]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[Conflict disclosed]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445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156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—</w:t>
            </w:r>
          </w:p>
        </w:tc>
        <w:tc>
          <w:tcPr>
            <w:tcW w:type="dxa" w:w="13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[NAME]</w:t>
            </w:r>
          </w:p>
        </w:tc>
        <w:tc>
          <w:tcPr>
            <w:tcW w:type="dxa" w:w="1449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sz w:val="17"/>
                <w:szCs w:val="17"/>
              </w:rPr>
              <w:t xml:space="preserve">[DETAIL]</w:t>
            </w:r>
          </w:p>
        </w:tc>
      </w:tr>
    </w:tbl>
    <w:p>
      <w:pPr>
        <w:spacing w:after="160"/>
      </w:pPr>
    </w:p>
    <w:p>
      <w:pPr>
        <w:spacing w:after="150" w:before="0" w:line="276"/>
        <w:jc w:val="both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Acknowledgement.</w:t>
      </w:r>
      <w:r>
        <w:rPr>
          <w:rFonts w:ascii="Calibri" w:cs="Calibri" w:eastAsia="Calibri" w:hAnsi="Calibri"/>
          <w:sz w:val="21"/>
          <w:szCs w:val="21"/>
        </w:rPr>
        <w:t xml:space="preserve"> I confirm that I have received this policy, understand it, and will report any concern.</w:t>
      </w:r>
    </w:p>
    <w:tbl>
      <w:tblPr>
        <w:tblW w:type="dxa" w:w="94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700"/>
        <w:gridCol w:w="4700"/>
      </w:tblGrid>
      <w:tr>
        <w:tc>
          <w:tcPr>
            <w:tcW w:type="dxa" w:w="4700"/>
            <w:tcMar>
              <w:top w:type="dxa" w:w="60"/>
              <w:left w:type="dxa" w:w="0"/>
              <w:bottom w:type="dxa" w:w="60"/>
              <w:right w:type="dxa" w:w="200"/>
            </w:tcMar>
          </w:tcPr>
          <w:p>
            <w:pPr>
              <w:spacing w:after="9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_______________________________</w:t>
            </w:r>
          </w:p>
          <w:p>
            <w:pPr>
              <w:spacing w:after="9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[NAME]</w:t>
            </w:r>
          </w:p>
          <w:p>
            <w:pPr>
              <w:spacing w:after="9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Date: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[DATE]</w:t>
            </w:r>
          </w:p>
        </w:tc>
        <w:tc>
          <w:tcPr>
            <w:tcW w:type="dxa" w:w="4700"/>
            <w:tcMar>
              <w:top w:type="dxa" w:w="60"/>
              <w:left w:type="dxa" w:w="0"/>
              <w:bottom w:type="dxa" w:w="60"/>
              <w:right w:type="dxa" w:w="200"/>
            </w:tcMar>
          </w:tcPr>
          <w:p>
            <w:pPr>
              <w:spacing w:after="9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_______________________________</w:t>
            </w:r>
          </w:p>
          <w:p>
            <w:pPr>
              <w:spacing w:after="9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For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[COMPANY NAME]</w:t>
            </w:r>
          </w:p>
          <w:p>
            <w:pPr>
              <w:spacing w:after="9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Date: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[DATE]</w:t>
            </w:r>
          </w:p>
        </w:tc>
      </w:tr>
    </w:tbl>
    <w:p>
      <w:pPr>
        <w:keepNext/>
        <w:pageBreakBefore/>
        <w:spacing w:after="60" w:before="0"/>
      </w:pPr>
      <w:r>
        <w:rPr>
          <w:rFonts w:ascii="Calibri" w:cs="Calibri" w:eastAsia="Calibri" w:hAnsi="Calibri"/>
          <w:b/>
          <w:bCs/>
          <w:color w:val="14161B"/>
          <w:sz w:val="22"/>
          <w:szCs w:val="22"/>
        </w:rPr>
        <w:t xml:space="preserve">NOTES FOR USE</w:t>
      </w:r>
    </w:p>
    <w:p>
      <w:pPr>
        <w:pBdr>
          <w:bottom w:val="single" w:color="C9CCD3" w:sz="6" w:space="4"/>
        </w:pBdr>
        <w:spacing w:after="200"/>
      </w:pPr>
      <w:r>
        <w:rPr>
          <w:rFonts w:ascii="Calibri" w:cs="Calibri" w:eastAsia="Calibri" w:hAnsi="Calibri"/>
          <w:i/>
          <w:iCs/>
          <w:color w:val="6E7480"/>
          <w:sz w:val="17"/>
          <w:szCs w:val="17"/>
        </w:rPr>
        <w:t xml:space="preserve">Delete this page before execution. It is guidance, not part of the agreement.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Assume more than one regime applies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UAE law criminalises bribery of public officials and commercial bribery between private parties. A company here may also be within the reach of foreign legislation — UK, US and others — through its investors, banks, customers or group companies, some of which impose strict corporate liability with an adequate-procedures defence. Design the policy for the strictest applicable standard.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Facilitation payments are prohibited, however normal they seem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small payment to speed up a routine process someone is already obliged to perform is a bribe under most applicable regimes. Staff encountering the practice routinely assume it is acceptable because it is common. Say explicitly that it is not.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You are exposed to what your agents do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Sponsors, PROs, consultants, agents, distributors and introducers act in the Company’s name, and their conduct becomes the Company’s problem. The due diligence in Section 3 is the single highest-value control in this policy — corporate liability in this area most often arrives through a third party.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The classic pattern is a fee that does not match the service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A large success fee for vaguely described government relations or consultancy, paid to an account in a third country, is what every investigator looks for. Each element may be innocent alone. Together they are not, and the combination is what needs approval.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Timing turns an acceptable gift into an improper one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Hospitality that would be unremarkable in an ordinary month is improper during a tender, a negotiation or a dispute. The test staff can actually apply: would you be comfortable if the counterparty’s competitor knew about it?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Never cash, any amount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Cash and cash equivalents have no legitimate place in gifts or hospitality, whatever the value. A blanket rule is easier to apply and easier to enforce than a threshold that invites judgement.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Treat gifts to family as gifts to the counterparty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Routing a benefit through a spouse, child or relative is the most common way a gift rule is circumvented. State it explicitly so nobody can claim the point was unclear.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Protect the person before the policy in an extortion situation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Where a payment is genuinely demanded under threat to personal safety, the individual’s safety comes first. Report immediately afterwards and record the circumstances fully — the contemporaneous record is what distinguishes extortion from a bribe.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Say that losing business is acceptable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Clause 6.4 is what makes the policy real. If a salesperson believes that losing a deal for refusing a payment will count against them at review time, no amount of policy language will change behaviour. Senior management has to mean it and be seen to mean it.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No off-book funds, ever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False invoices, unrecorded accounts and mischaracterised expenses are how bribery is funded and how it is detected. Accurate books are both a legal requirement and the strongest practical deterrent.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Screen for sanctions on an ongoing basis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Lists change and counterparties change ownership. Screening at onboarding only is a snapshot. Periodic rescreening catches the counterparty that became a problem after the relationship started.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Know whether you are a DNFBP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Real estate brokers, dealers in precious metals and stones, auditors, accountants and corporate service providers are subject to the full anti-money-laundering framework including goAML registration and reporting. Many businesses in these categories do not realise they are in scope.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Tipping off is a criminal offence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Where a suspicious transaction report is made, the customer must not be told and the business must not behave in a way that reveals it — including declining a transaction in a manner that signals a report. Train customer-facing staff on this specifically.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Keep the registers and review them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Gift, hospitality and conflict registers are useful only if someone reads them. A quarterly review looking for patterns — the same counterparty, the same individual, clustering around a decision — is where the signal is.</w:t>
      </w:r>
    </w:p>
    <w:p>
      <w:pPr>
        <w:keepNext/>
        <w:spacing w:after="40" w:before="140"/>
      </w:pPr>
      <w:r>
        <w:rPr>
          <w:rFonts w:ascii="Calibri" w:cs="Calibri" w:eastAsia="Calibri" w:hAnsi="Calibri"/>
          <w:b/>
          <w:bCs/>
          <w:color w:val="14161B"/>
          <w:sz w:val="20"/>
          <w:szCs w:val="20"/>
        </w:rPr>
        <w:t xml:space="preserve">Current as of</w:t>
      </w:r>
    </w:p>
    <w:p>
      <w:pPr>
        <w:spacing w:after="60" w:line="264"/>
        <w:jc w:val="both"/>
      </w:pPr>
      <w:r>
        <w:rPr>
          <w:rFonts w:ascii="Calibri" w:cs="Calibri" w:eastAsia="Calibri" w:hAnsi="Calibri"/>
          <w:sz w:val="19"/>
          <w:szCs w:val="19"/>
        </w:rPr>
        <w:t xml:space="preserve">Reflects UAE law and practice current as of </w:t>
      </w:r>
      <w:r>
        <w:rPr>
          <w:rFonts w:ascii="Calibri" w:cs="Calibri" w:eastAsia="Calibri" w:hAnsi="Calibri"/>
          <w:b/>
          <w:bCs/>
          <w:sz w:val="19"/>
          <w:szCs w:val="19"/>
        </w:rPr>
        <w:t xml:space="preserve">[DATE OF USE]</w:t>
      </w:r>
      <w:r>
        <w:rPr>
          <w:rFonts w:ascii="Calibri" w:cs="Calibri" w:eastAsia="Calibri" w:hAnsi="Calibri"/>
          <w:sz w:val="19"/>
          <w:szCs w:val="19"/>
        </w:rPr>
        <w:t xml:space="preserve">. UAE anti-bribery, anti-money-laundering and sanctions requirements change, DNFBP categories are amended, and applicable foreign legislation varies with your investor, banking and customer relationships — take legal advice on which regimes apply to your group and confirm the current position before relying on this policy.</w:t>
      </w:r>
    </w:p>
    <w:sectPr>
      <w:headerReference w:type="default" r:id="rId7"/>
      <w:headerReference w:type="first" r:id="rId8"/>
      <w:footerReference w:type="default" r:id="rId9"/>
      <w:footerReference w:type="first" r:id="rId10"/>
      <w:pgSz w:w="11906" w:h="16838" w:orient="portrait"/>
      <w:pgMar w:top="1080" w:right="1134" w:bottom="1080" w:left="1134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CD3" w:sz="6" w:space="6"/>
      </w:pBdr>
      <w:tabs>
        <w:tab w:val="right" w:pos="9638"/>
      </w:tabs>
      <w:spacing w:before="60"/>
    </w:pPr>
    <w:r>
      <w:rPr>
        <w:rFonts w:ascii="Calibri" w:cs="Calibri" w:eastAsia="Calibri" w:hAnsi="Calibri"/>
        <w:color w:val="6E7480"/>
        <w:sz w:val="17"/>
        <w:szCs w:val="17"/>
      </w:rPr>
      <w:t xml:space="preserve">Generated from www.helionerp.com	</w:t>
    </w:r>
    <w:r>
      <w:rPr>
        <w:rFonts w:ascii="Calibri" w:cs="Calibri" w:eastAsia="Calibri" w:hAnsi="Calibri"/>
        <w:color w:val="6E7480"/>
        <w:sz w:val="17"/>
        <w:szCs w:val="17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CD3" w:sz="6" w:space="6"/>
      </w:pBdr>
      <w:spacing w:after="200"/>
      <w:jc w:val="center"/>
    </w:pPr>
    <w:r>
      <w:rPr>
        <w:rFonts w:ascii="Calibri" w:cs="Calibri" w:eastAsia="Calibri" w:hAnsi="Calibri"/>
        <w:i/>
        <w:iCs/>
        <w:color w:val="6E7480"/>
        <w:sz w:val="17"/>
        <w:szCs w:val="17"/>
      </w:rPr>
      <w:t xml:space="preserve">[HEADER — replace with your organisation's letterhead, if used]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B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Helion ERP</dc:creator>
  <dc:description>Template generated from www.helionerp.com</dc:description>
  <cp:lastModifiedBy>Un-named</cp:lastModifiedBy>
  <cp:revision>1</cp:revision>
  <dcterms:created xsi:type="dcterms:W3CDTF">2026-08-23T16:28:35.206Z</dcterms:created>
  <dcterms:modified xsi:type="dcterms:W3CDTF">2026-08-23T16:28:35.206Z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