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40"/>
        <w:jc w:val="center"/>
      </w:pPr>
      <w:r>
        <w:rPr>
          <w:rFonts w:ascii="Calibri" w:cs="Calibri" w:eastAsia="Calibri" w:hAnsi="Calibri"/>
          <w:b/>
          <w:bCs/>
          <w:color w:val="14161B"/>
          <w:spacing w:val="12"/>
          <w:sz w:val="28"/>
          <w:szCs w:val="28"/>
        </w:rPr>
        <w:t xml:space="preserve">BRANCH AND REPRESENTATIVE OFFICE</w:t>
      </w:r>
    </w:p>
    <w:p>
      <w:pPr>
        <w:spacing w:after="260"/>
        <w:jc w:val="center"/>
      </w:pPr>
      <w:r>
        <w:rPr>
          <w:rFonts w:ascii="Calibri" w:cs="Calibri" w:eastAsia="Calibri" w:hAnsi="Calibri"/>
          <w:i/>
          <w:iCs/>
          <w:color w:val="6E7480"/>
          <w:sz w:val="19"/>
          <w:szCs w:val="19"/>
        </w:rPr>
        <w:t xml:space="preserve">Establishing a foreign company presence</w:t>
      </w:r>
    </w:p>
    <w:p>
      <w:pPr>
        <w:spacing w:after="180" w:before="0" w:line="276"/>
        <w:jc w:val="both"/>
      </w:pPr>
      <w:r>
        <w:rPr>
          <w:rFonts w:ascii="Calibri" w:cs="Calibri" w:eastAsia="Calibri" w:hAnsi="Calibri"/>
          <w:i/>
          <w:iCs/>
          <w:color w:val="6E7480"/>
          <w:sz w:val="21"/>
          <w:szCs w:val="21"/>
        </w:rPr>
        <w:t xml:space="preserve">The distinction that matters: a </w:t>
      </w:r>
      <w:r>
        <w:rPr>
          <w:rFonts w:ascii="Calibri" w:cs="Calibri" w:eastAsia="Calibri" w:hAnsi="Calibri"/>
          <w:b/>
          <w:bCs/>
          <w:i/>
          <w:iCs/>
          <w:color w:val="6E7480"/>
          <w:sz w:val="21"/>
          <w:szCs w:val="21"/>
        </w:rPr>
        <w:t xml:space="preserve">branch</w:t>
      </w:r>
      <w:r>
        <w:rPr>
          <w:rFonts w:ascii="Calibri" w:cs="Calibri" w:eastAsia="Calibri" w:hAnsi="Calibri"/>
          <w:i/>
          <w:iCs/>
          <w:color w:val="6E7480"/>
          <w:sz w:val="21"/>
          <w:szCs w:val="21"/>
        </w:rPr>
        <w:t xml:space="preserve"> may trade within the scope of the parent’s activities and the parent remains liable for everything it does. A </w:t>
      </w:r>
      <w:r>
        <w:rPr>
          <w:rFonts w:ascii="Calibri" w:cs="Calibri" w:eastAsia="Calibri" w:hAnsi="Calibri"/>
          <w:b/>
          <w:bCs/>
          <w:i/>
          <w:iCs/>
          <w:color w:val="6E7480"/>
          <w:sz w:val="21"/>
          <w:szCs w:val="21"/>
        </w:rPr>
        <w:t xml:space="preserve">representative office</w:t>
      </w:r>
      <w:r>
        <w:rPr>
          <w:rFonts w:ascii="Calibri" w:cs="Calibri" w:eastAsia="Calibri" w:hAnsi="Calibri"/>
          <w:i/>
          <w:iCs/>
          <w:color w:val="6E7480"/>
          <w:sz w:val="21"/>
          <w:szCs w:val="21"/>
        </w:rPr>
        <w:t xml:space="preserve"> may not trade at all — no contracts, no invoices, no revenue. Companies choose the representative office for its lower cost and then operate it as a branch, which is easily discovered.</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469"/>
        <w:gridCol w:w="6169"/>
      </w:tblGrid>
      <w:tr>
        <w:trPr>
          <w:cantSplit/>
          <w:tblHeader/>
        </w:trPr>
        <w:tc>
          <w:tcPr>
            <w:tcW w:type="dxa" w:w="346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Item</w:t>
            </w:r>
          </w:p>
        </w:tc>
        <w:tc>
          <w:tcPr>
            <w:tcW w:type="dxa" w:w="616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Foreign parent</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r>
              <w:rPr>
                <w:rFonts w:ascii="Calibri" w:cs="Calibri" w:eastAsia="Calibri" w:hAnsi="Calibri"/>
                <w:sz w:val="19"/>
                <w:szCs w:val="19"/>
              </w:rPr>
              <w:t xml:space="preserve">, incorporated in </w:t>
            </w:r>
            <w:r>
              <w:rPr>
                <w:rFonts w:ascii="Calibri" w:cs="Calibri" w:eastAsia="Calibri" w:hAnsi="Calibri"/>
                <w:b/>
                <w:bCs/>
                <w:sz w:val="19"/>
                <w:szCs w:val="19"/>
              </w:rPr>
              <w:t xml:space="preserve">[COUNTRY]</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Structure</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[Branch / Representative office / Subsidiary]</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Emirate or zone</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Activities</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[MUST FALL WITHIN THE PARENT’S ACTIVITIES]</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National service agent required?</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[Confirm — position has changed]</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Manager</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r>
              <w:rPr>
                <w:rFonts w:ascii="Calibri" w:cs="Calibri" w:eastAsia="Calibri" w:hAnsi="Calibri"/>
                <w:sz w:val="19"/>
                <w:szCs w:val="19"/>
              </w:rPr>
              <w:t xml:space="preserve"> — resident in the UAE</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Bank guarantee or deposit</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AED </w:t>
            </w:r>
            <w:r>
              <w:rPr>
                <w:rFonts w:ascii="Calibri" w:cs="Calibri" w:eastAsia="Calibri" w:hAnsi="Calibri"/>
                <w:b/>
                <w:bCs/>
                <w:sz w:val="19"/>
                <w:szCs w:val="19"/>
              </w:rPr>
              <w:t xml:space="preserve">[AMOUNT]</w:t>
            </w:r>
            <w:r>
              <w:rPr>
                <w:rFonts w:ascii="Calibri" w:cs="Calibri" w:eastAsia="Calibri" w:hAnsi="Calibri"/>
                <w:sz w:val="19"/>
                <w:szCs w:val="19"/>
              </w:rPr>
              <w:t xml:space="preserve"> — </w:t>
            </w:r>
            <w:r>
              <w:rPr>
                <w:rFonts w:ascii="Calibri" w:cs="Calibri" w:eastAsia="Calibri" w:hAnsi="Calibri"/>
                <w:i/>
                <w:iCs/>
                <w:sz w:val="19"/>
                <w:szCs w:val="19"/>
              </w:rPr>
              <w:t xml:space="preserve">or not required; confirm</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Licence issued</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r>
              <w:rPr>
                <w:rFonts w:ascii="Calibri" w:cs="Calibri" w:eastAsia="Calibri" w:hAnsi="Calibri"/>
                <w:sz w:val="19"/>
                <w:szCs w:val="19"/>
              </w:rPr>
              <w:t xml:space="preserve">  Number: </w:t>
            </w:r>
            <w:r>
              <w:rPr>
                <w:rFonts w:ascii="Calibri" w:cs="Calibri" w:eastAsia="Calibri" w:hAnsi="Calibri"/>
                <w:b/>
                <w:bCs/>
                <w:sz w:val="19"/>
                <w:szCs w:val="19"/>
              </w:rPr>
              <w:t xml:space="preserve">[NUMBER]</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Parent accounts filed?</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[Y/N]</w:t>
            </w:r>
            <w:r>
              <w:rPr>
                <w:rFonts w:ascii="Calibri" w:cs="Calibri" w:eastAsia="Calibri" w:hAnsi="Calibri"/>
                <w:sz w:val="19"/>
                <w:szCs w:val="19"/>
              </w:rPr>
              <w:t xml:space="preserve"> — see the notes</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Corporate tax registration</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[TRN]</w:t>
            </w:r>
          </w:p>
        </w:tc>
      </w:tr>
    </w:tbl>
    <w:p>
      <w:pPr>
        <w:spacing w:after="180"/>
      </w:pPr>
    </w:p>
    <w:p>
      <w:pPr>
        <w:keepNext/>
        <w:spacing w:after="120" w:before="280"/>
        <w:outlineLvl w:val="0"/>
      </w:pPr>
      <w:r>
        <w:rPr>
          <w:rFonts w:ascii="Calibri" w:cs="Calibri" w:eastAsia="Calibri" w:hAnsi="Calibri"/>
          <w:b/>
          <w:bCs/>
          <w:color w:val="14161B"/>
          <w:sz w:val="22"/>
          <w:szCs w:val="22"/>
        </w:rPr>
        <w:t xml:space="preserve">1. WHICH STRUCTURE</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1734"/>
        <w:gridCol w:w="2698"/>
        <w:gridCol w:w="2505"/>
        <w:gridCol w:w="2701"/>
      </w:tblGrid>
      <w:tr>
        <w:trPr>
          <w:cantSplit/>
          <w:tblHeader/>
        </w:trPr>
        <w:tc>
          <w:tcPr>
            <w:tcW w:type="dxa" w:w="1734"/>
            <w:shd w:fill="EEF1FE" w:color="auto" w:val="clear"/>
            <w:tcMar>
              <w:top w:type="dxa" w:w="70"/>
              <w:left w:type="dxa" w:w="100"/>
              <w:bottom w:type="dxa" w:w="70"/>
              <w:right w:type="dxa" w:w="100"/>
            </w:tcMar>
            <w:vAlign w:val="center"/>
          </w:tcPr>
          <w:p>
            <w:pPr>
              <w:spacing w:after="0" w:line="240"/>
              <w:jc w:val="left"/>
            </w:pPr>
          </w:p>
        </w:tc>
        <w:tc>
          <w:tcPr>
            <w:tcW w:type="dxa" w:w="2698"/>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Branch</w:t>
            </w:r>
          </w:p>
        </w:tc>
        <w:tc>
          <w:tcPr>
            <w:tcW w:type="dxa" w:w="250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Representative office</w:t>
            </w:r>
          </w:p>
        </w:tc>
        <w:tc>
          <w:tcPr>
            <w:tcW w:type="dxa" w:w="270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Subsidiary</w:t>
            </w:r>
          </w:p>
        </w:tc>
      </w:tr>
      <w:tr>
        <w:trPr>
          <w:cantSplit/>
        </w:trPr>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Separate legal entity</w:t>
            </w:r>
          </w:p>
        </w:tc>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No — an extension of the parent</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No</w:t>
            </w:r>
          </w:p>
        </w:tc>
        <w:tc>
          <w:tcPr>
            <w:tcW w:type="dxa" w:w="2701"/>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Yes</w:t>
            </w:r>
          </w:p>
        </w:tc>
      </w:tr>
      <w:tr>
        <w:trPr>
          <w:cantSplit/>
        </w:trPr>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Liability</w:t>
            </w:r>
          </w:p>
        </w:tc>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Parent liable for everything</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Parent liable</w:t>
            </w:r>
          </w:p>
        </w:tc>
        <w:tc>
          <w:tcPr>
            <w:tcW w:type="dxa" w:w="2701"/>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Ring-fenced to the subsidiary</w:t>
            </w:r>
          </w:p>
        </w:tc>
      </w:tr>
      <w:tr>
        <w:trPr>
          <w:cantSplit/>
        </w:trPr>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May trade</w:t>
            </w:r>
          </w:p>
        </w:tc>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Yes, within the parent’s activities</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No</w:t>
            </w:r>
            <w:r>
              <w:rPr>
                <w:rFonts w:ascii="Calibri" w:cs="Calibri" w:eastAsia="Calibri" w:hAnsi="Calibri"/>
                <w:sz w:val="16"/>
                <w:szCs w:val="16"/>
              </w:rPr>
              <w:t xml:space="preserve"> — promotion and liaison only</w:t>
            </w:r>
          </w:p>
        </w:tc>
        <w:tc>
          <w:tcPr>
            <w:tcW w:type="dxa" w:w="2701"/>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Yes</w:t>
            </w:r>
          </w:p>
        </w:tc>
      </w:tr>
      <w:tr>
        <w:trPr>
          <w:cantSplit/>
        </w:trPr>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May invoice and earn revenue</w:t>
            </w:r>
          </w:p>
        </w:tc>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Yes</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No</w:t>
            </w:r>
          </w:p>
        </w:tc>
        <w:tc>
          <w:tcPr>
            <w:tcW w:type="dxa" w:w="2701"/>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Yes</w:t>
            </w:r>
          </w:p>
        </w:tc>
      </w:tr>
      <w:tr>
        <w:trPr>
          <w:cantSplit/>
        </w:trPr>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May sign contracts</w:t>
            </w:r>
          </w:p>
        </w:tc>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Yes</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No</w:t>
            </w:r>
          </w:p>
        </w:tc>
        <w:tc>
          <w:tcPr>
            <w:tcW w:type="dxa" w:w="2701"/>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Yes</w:t>
            </w:r>
          </w:p>
        </w:tc>
      </w:tr>
      <w:tr>
        <w:trPr>
          <w:cantSplit/>
        </w:trPr>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Staff</w:t>
            </w:r>
          </w:p>
        </w:tc>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Yes</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Limited — confirm the cap</w:t>
            </w:r>
          </w:p>
        </w:tc>
        <w:tc>
          <w:tcPr>
            <w:tcW w:type="dxa" w:w="2701"/>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Yes</w:t>
            </w:r>
          </w:p>
        </w:tc>
      </w:tr>
      <w:tr>
        <w:trPr>
          <w:cantSplit/>
        </w:trPr>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Tax residence</w:t>
            </w:r>
          </w:p>
        </w:tc>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Generally non-resident</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w:t>
            </w:r>
          </w:p>
        </w:tc>
        <w:tc>
          <w:tcPr>
            <w:tcW w:type="dxa" w:w="2701"/>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Generally resident</w:t>
            </w:r>
          </w:p>
        </w:tc>
      </w:tr>
      <w:tr>
        <w:trPr>
          <w:cantSplit/>
        </w:trPr>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Accounts filing</w:t>
            </w:r>
          </w:p>
        </w:tc>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Branch and parent accounts may be required</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[Confirm]</w:t>
            </w:r>
          </w:p>
        </w:tc>
        <w:tc>
          <w:tcPr>
            <w:tcW w:type="dxa" w:w="2701"/>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Local accounts only</w:t>
            </w:r>
          </w:p>
        </w:tc>
      </w:tr>
      <w:tr>
        <w:trPr>
          <w:cantSplit/>
        </w:trPr>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Setup cost</w:t>
            </w:r>
          </w:p>
        </w:tc>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[Moderate]</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[Lower]</w:t>
            </w:r>
          </w:p>
        </w:tc>
        <w:tc>
          <w:tcPr>
            <w:tcW w:type="dxa" w:w="2701"/>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[Moderate]</w:t>
            </w:r>
          </w:p>
        </w:tc>
      </w:tr>
      <w:tr>
        <w:trPr>
          <w:cantSplit/>
        </w:trPr>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Suits</w:t>
            </w:r>
          </w:p>
        </w:tc>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Executing contracts already won; regulated activities requiring branch form</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Genuine market assessment</w:t>
            </w:r>
          </w:p>
        </w:tc>
        <w:tc>
          <w:tcPr>
            <w:tcW w:type="dxa" w:w="2701"/>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Almost everything else</w:t>
            </w:r>
          </w:p>
        </w:tc>
      </w:tr>
    </w:tbl>
    <w:p>
      <w:pPr>
        <w:spacing w:after="140"/>
      </w:pPr>
    </w:p>
    <w:p>
      <w:pPr>
        <w:spacing w:after="120" w:before="60" w:line="276"/>
        <w:ind w:left="720" w:hanging="720"/>
        <w:jc w:val="both"/>
      </w:pPr>
      <w:r>
        <w:rPr>
          <w:rFonts w:ascii="Calibri" w:cs="Calibri" w:eastAsia="Calibri" w:hAnsi="Calibri"/>
          <w:sz w:val="21"/>
          <w:szCs w:val="21"/>
        </w:rPr>
        <w:t xml:space="preserve">1.1	</w:t>
      </w:r>
      <w:r>
        <w:rPr>
          <w:rFonts w:ascii="Calibri" w:cs="Calibri" w:eastAsia="Calibri" w:hAnsi="Calibri"/>
          <w:i/>
          <w:iCs/>
          <w:sz w:val="21"/>
          <w:szCs w:val="21"/>
        </w:rPr>
        <w:t xml:space="preserve">For most foreign companies entering the market, a subsidiary is the answer. The branch is chosen where the parent’s track record or licences must carry across, or where a regulator requires it. The representative office is for a genuine assessment period and nothing more.</w:t>
      </w:r>
    </w:p>
    <w:p>
      <w:pPr>
        <w:keepNext/>
        <w:spacing w:after="120" w:before="280"/>
        <w:outlineLvl w:val="0"/>
      </w:pPr>
      <w:r>
        <w:rPr>
          <w:rFonts w:ascii="Calibri" w:cs="Calibri" w:eastAsia="Calibri" w:hAnsi="Calibri"/>
          <w:b/>
          <w:bCs/>
          <w:color w:val="14161B"/>
          <w:sz w:val="22"/>
          <w:szCs w:val="22"/>
        </w:rPr>
        <w:t xml:space="preserve">2. WHAT A REPRESENTATIVE OFFICE CANNOT DO</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4433"/>
        <w:gridCol w:w="5205"/>
      </w:tblGrid>
      <w:tr>
        <w:trPr>
          <w:cantSplit/>
          <w:tblHeader/>
        </w:trPr>
        <w:tc>
          <w:tcPr>
            <w:tcW w:type="dxa" w:w="443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Permitted</w:t>
            </w:r>
          </w:p>
        </w:tc>
        <w:tc>
          <w:tcPr>
            <w:tcW w:type="dxa" w:w="520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Not permitted</w:t>
            </w:r>
          </w:p>
        </w:tc>
      </w:tr>
      <w:tr>
        <w:trPr>
          <w:cantSplit/>
        </w:trPr>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Promote the parent’s products and services</w:t>
            </w:r>
          </w:p>
        </w:tc>
        <w:tc>
          <w:tcPr>
            <w:tcW w:type="dxa" w:w="520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Selling anything</w:t>
            </w:r>
          </w:p>
        </w:tc>
      </w:tr>
      <w:tr>
        <w:trPr>
          <w:cantSplit/>
        </w:trPr>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Gather market information</w:t>
            </w:r>
          </w:p>
        </w:tc>
        <w:tc>
          <w:tcPr>
            <w:tcW w:type="dxa" w:w="520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Signing contracts</w:t>
            </w:r>
          </w:p>
        </w:tc>
      </w:tr>
      <w:tr>
        <w:trPr>
          <w:cantSplit/>
        </w:trPr>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Liaise with prospective customers and partners</w:t>
            </w:r>
          </w:p>
        </w:tc>
        <w:tc>
          <w:tcPr>
            <w:tcW w:type="dxa" w:w="520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Issuing invoices</w:t>
            </w:r>
          </w:p>
        </w:tc>
      </w:tr>
      <w:tr>
        <w:trPr>
          <w:cantSplit/>
        </w:trPr>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Arrange meetings and introductions</w:t>
            </w:r>
          </w:p>
        </w:tc>
        <w:tc>
          <w:tcPr>
            <w:tcW w:type="dxa" w:w="520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Receiving revenue</w:t>
            </w:r>
          </w:p>
        </w:tc>
      </w:tr>
      <w:tr>
        <w:trPr>
          <w:cantSplit/>
        </w:trPr>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Provide information about the parent</w:t>
            </w:r>
          </w:p>
        </w:tc>
        <w:tc>
          <w:tcPr>
            <w:tcW w:type="dxa" w:w="520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Providing services for a fee</w:t>
            </w:r>
          </w:p>
        </w:tc>
      </w:tr>
      <w:tr>
        <w:trPr>
          <w:cantSplit/>
        </w:trPr>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Employ a small permitted number of staff</w:t>
            </w:r>
          </w:p>
        </w:tc>
        <w:tc>
          <w:tcPr>
            <w:tcW w:type="dxa" w:w="520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Importing or holding stock</w:t>
            </w:r>
          </w:p>
        </w:tc>
      </w:tr>
      <w:tr>
        <w:trPr>
          <w:cantSplit/>
        </w:trPr>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Maintain an office</w:t>
            </w:r>
          </w:p>
        </w:tc>
        <w:tc>
          <w:tcPr>
            <w:tcW w:type="dxa" w:w="520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Acting as an agent or distributor</w:t>
            </w:r>
          </w:p>
        </w:tc>
      </w:tr>
    </w:tbl>
    <w:p>
      <w:pPr>
        <w:spacing w:after="140"/>
      </w:pPr>
    </w:p>
    <w:p>
      <w:pPr>
        <w:spacing w:after="120" w:before="60" w:line="276"/>
        <w:ind w:left="720" w:hanging="720"/>
        <w:jc w:val="both"/>
      </w:pPr>
      <w:r>
        <w:rPr>
          <w:rFonts w:ascii="Calibri" w:cs="Calibri" w:eastAsia="Calibri" w:hAnsi="Calibri"/>
          <w:sz w:val="21"/>
          <w:szCs w:val="21"/>
        </w:rPr>
        <w:t xml:space="preserve">2.1	</w:t>
      </w:r>
      <w:r>
        <w:rPr>
          <w:rFonts w:ascii="Calibri" w:cs="Calibri" w:eastAsia="Calibri" w:hAnsi="Calibri"/>
          <w:b/>
          <w:bCs/>
          <w:sz w:val="21"/>
          <w:szCs w:val="21"/>
        </w:rPr>
        <w:t xml:space="preserve">Operating a representative office as a trading entity is outside its licence and is easily discovered</w:t>
      </w:r>
      <w:r>
        <w:rPr>
          <w:rFonts w:ascii="Calibri" w:cs="Calibri" w:eastAsia="Calibri" w:hAnsi="Calibri"/>
          <w:sz w:val="21"/>
          <w:szCs w:val="21"/>
        </w:rPr>
        <w:t xml:space="preserve"> — through banking activity, invoices bearing the office’s details, customer complaints, or a regulator query. Convert to a branch or subsidiary before trading, not after.</w:t>
      </w:r>
    </w:p>
    <w:p>
      <w:pPr>
        <w:keepNext/>
        <w:spacing w:after="120" w:before="280"/>
        <w:outlineLvl w:val="0"/>
      </w:pPr>
      <w:r>
        <w:rPr>
          <w:rFonts w:ascii="Calibri" w:cs="Calibri" w:eastAsia="Calibri" w:hAnsi="Calibri"/>
          <w:b/>
          <w:bCs/>
          <w:color w:val="14161B"/>
          <w:sz w:val="22"/>
          <w:szCs w:val="22"/>
        </w:rPr>
        <w:t xml:space="preserve">3. ESTABLISHING A BRANCH</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85"/>
        <w:gridCol w:w="4433"/>
        <w:gridCol w:w="3276"/>
        <w:gridCol w:w="1544"/>
      </w:tblGrid>
      <w:tr>
        <w:trPr>
          <w:cantSplit/>
          <w:tblHeader/>
        </w:trPr>
        <w:tc>
          <w:tcPr>
            <w:tcW w:type="dxa" w:w="38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w:t>
            </w:r>
          </w:p>
        </w:tc>
        <w:tc>
          <w:tcPr>
            <w:tcW w:type="dxa" w:w="443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Step</w:t>
            </w:r>
          </w:p>
        </w:tc>
        <w:tc>
          <w:tcPr>
            <w:tcW w:type="dxa" w:w="327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Note</w:t>
            </w:r>
          </w:p>
        </w:tc>
        <w:tc>
          <w:tcPr>
            <w:tcW w:type="dxa" w:w="154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Done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1</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Confirm the proposed activities fall within the parent’s activities</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A branch cannot exceed the parent’s scope</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2</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Confirm whether the activity is open to a branch</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Some activities require a subsidiary or a licence held locally</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3</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Confirm the national service agent position</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This has changed — do not assume the historic requirement</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4</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Parent board resolution approving the branch and appointing the manager</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Attested and legalised</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5</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Parent constitutional documents and certificate of incorporation</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Attested and legalised</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6</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Parent audited financial statements</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Usually required</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7</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Power of attorney for the manager</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Attested and legalised</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8</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Ministry and authority approvals obtained</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Sequence varies by emirate</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9</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Bank guarantee or deposit lodged where required</w:t>
            </w:r>
          </w:p>
        </w:tc>
        <w:tc>
          <w:tcPr>
            <w:tcW w:type="dxa" w:w="3276"/>
            <w:tcMar>
              <w:top w:type="dxa" w:w="70"/>
              <w:left w:type="dxa" w:w="100"/>
              <w:bottom w:type="dxa" w:w="70"/>
              <w:right w:type="dxa" w:w="100"/>
            </w:tcMar>
            <w:vAlign w:val="center"/>
          </w:tcPr>
          <w:p>
            <w:pPr>
              <w:spacing w:after="0" w:line="240"/>
              <w:jc w:val="left"/>
            </w:pP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10</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Tenancy secured and registered</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Ejari or equivalent</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11</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Trade licence issued</w:t>
            </w:r>
          </w:p>
        </w:tc>
        <w:tc>
          <w:tcPr>
            <w:tcW w:type="dxa" w:w="3276"/>
            <w:tcMar>
              <w:top w:type="dxa" w:w="70"/>
              <w:left w:type="dxa" w:w="100"/>
              <w:bottom w:type="dxa" w:w="70"/>
              <w:right w:type="dxa" w:w="100"/>
            </w:tcMar>
            <w:vAlign w:val="center"/>
          </w:tcPr>
          <w:p>
            <w:pPr>
              <w:spacing w:after="0" w:line="240"/>
              <w:jc w:val="left"/>
            </w:pP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12</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Establishment card and immigration file opened</w:t>
            </w:r>
          </w:p>
        </w:tc>
        <w:tc>
          <w:tcPr>
            <w:tcW w:type="dxa" w:w="3276"/>
            <w:tcMar>
              <w:top w:type="dxa" w:w="70"/>
              <w:left w:type="dxa" w:w="100"/>
              <w:bottom w:type="dxa" w:w="70"/>
              <w:right w:type="dxa" w:w="100"/>
            </w:tcMar>
            <w:vAlign w:val="center"/>
          </w:tcPr>
          <w:p>
            <w:pPr>
              <w:spacing w:after="0" w:line="240"/>
              <w:jc w:val="left"/>
            </w:pP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13</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Bank account opened</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Expect enhanced due diligence on the parent</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14</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Corporate tax registration</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Required</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15</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VAT registration assessed</w:t>
            </w:r>
          </w:p>
        </w:tc>
        <w:tc>
          <w:tcPr>
            <w:tcW w:type="dxa" w:w="3276"/>
            <w:tcMar>
              <w:top w:type="dxa" w:w="70"/>
              <w:left w:type="dxa" w:w="100"/>
              <w:bottom w:type="dxa" w:w="70"/>
              <w:right w:type="dxa" w:w="100"/>
            </w:tcMar>
            <w:vAlign w:val="center"/>
          </w:tcPr>
          <w:p>
            <w:pPr>
              <w:spacing w:after="0" w:line="240"/>
              <w:jc w:val="left"/>
            </w:pP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16</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UBO information filed</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Look through to the parent’s beneficial owners</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17</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WPS set up before the first payroll</w:t>
            </w:r>
          </w:p>
        </w:tc>
        <w:tc>
          <w:tcPr>
            <w:tcW w:type="dxa" w:w="3276"/>
            <w:tcMar>
              <w:top w:type="dxa" w:w="70"/>
              <w:left w:type="dxa" w:w="100"/>
              <w:bottom w:type="dxa" w:w="70"/>
              <w:right w:type="dxa" w:w="100"/>
            </w:tcMar>
            <w:vAlign w:val="center"/>
          </w:tcPr>
          <w:p>
            <w:pPr>
              <w:spacing w:after="0" w:line="240"/>
              <w:jc w:val="left"/>
            </w:pP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[DATE]</w:t>
            </w:r>
          </w:p>
        </w:tc>
      </w:tr>
    </w:tbl>
    <w:p>
      <w:pPr>
        <w:spacing w:after="140"/>
      </w:pPr>
    </w:p>
    <w:p>
      <w:pPr>
        <w:spacing w:after="120" w:before="60" w:line="276"/>
        <w:ind w:left="720" w:hanging="720"/>
        <w:jc w:val="both"/>
      </w:pPr>
      <w:r>
        <w:rPr>
          <w:rFonts w:ascii="Calibri" w:cs="Calibri" w:eastAsia="Calibri" w:hAnsi="Calibri"/>
          <w:sz w:val="21"/>
          <w:szCs w:val="21"/>
        </w:rPr>
        <w:t xml:space="preserve">3.1	</w:t>
      </w:r>
      <w:r>
        <w:rPr>
          <w:rFonts w:ascii="Calibri" w:cs="Calibri" w:eastAsia="Calibri" w:hAnsi="Calibri"/>
          <w:b/>
          <w:bCs/>
          <w:sz w:val="21"/>
          <w:szCs w:val="21"/>
        </w:rPr>
        <w:t xml:space="preserve">Attestation is the long pole.</w:t>
      </w:r>
      <w:r>
        <w:rPr>
          <w:rFonts w:ascii="Calibri" w:cs="Calibri" w:eastAsia="Calibri" w:hAnsi="Calibri"/>
          <w:sz w:val="21"/>
          <w:szCs w:val="21"/>
        </w:rPr>
        <w:t xml:space="preserve"> Every parent document — incorporation certificate, constitution, board resolution, power of attorney, accounts — needs attestation in the country of origin, legalisation through the UAE embassy, and attestation by the Ministry of Foreign Affairs, then Arabic translation. Three to six weeks, and it must start first.</w:t>
      </w:r>
    </w:p>
    <w:p>
      <w:pPr>
        <w:keepNext/>
        <w:spacing w:after="120" w:before="280"/>
        <w:outlineLvl w:val="0"/>
      </w:pPr>
      <w:r>
        <w:rPr>
          <w:rFonts w:ascii="Calibri" w:cs="Calibri" w:eastAsia="Calibri" w:hAnsi="Calibri"/>
          <w:b/>
          <w:bCs/>
          <w:color w:val="14161B"/>
          <w:sz w:val="22"/>
          <w:szCs w:val="22"/>
        </w:rPr>
        <w:t xml:space="preserve">4. ONGOING OBLIGATIONS</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276"/>
        <w:gridCol w:w="6362"/>
      </w:tblGrid>
      <w:tr>
        <w:trPr>
          <w:cantSplit/>
          <w:tblHeader/>
        </w:trPr>
        <w:tc>
          <w:tcPr>
            <w:tcW w:type="dxa" w:w="327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Obligation</w:t>
            </w:r>
          </w:p>
        </w:tc>
        <w:tc>
          <w:tcPr>
            <w:tcW w:type="dxa" w:w="636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Note</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Trade licence renewal</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Annually, with the tenancy chain</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Establishment card and immigration file</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Per validity</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Accounts filing</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Branch accounts, and in some cases the parent’s own financial statements</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Corporate tax return</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The branch is a taxable person</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VAT returns where registered</w:t>
            </w:r>
          </w:p>
        </w:tc>
        <w:tc>
          <w:tcPr>
            <w:tcW w:type="dxa" w:w="6362"/>
            <w:tcMar>
              <w:top w:type="dxa" w:w="70"/>
              <w:left w:type="dxa" w:w="100"/>
              <w:bottom w:type="dxa" w:w="70"/>
              <w:right w:type="dxa" w:w="100"/>
            </w:tcMar>
            <w:vAlign w:val="center"/>
          </w:tcPr>
          <w:p>
            <w:pPr>
              <w:spacing w:after="0" w:line="240"/>
              <w:jc w:val="left"/>
            </w:pP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UBO register kept current</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Through to the parent’s beneficial owners</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WPS and employment obligations</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Full employer obligations apply</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Emiratisation</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[Applies to a mainland branch — confirm]</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Bank guarantee maintained</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Where required, renewed with the licence</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Notify changes at parent level</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Name, ownership, directors, constitution</w:t>
            </w:r>
          </w:p>
        </w:tc>
      </w:tr>
    </w:tbl>
    <w:p>
      <w:pPr>
        <w:spacing w:after="140"/>
      </w:pPr>
    </w:p>
    <w:p>
      <w:pPr>
        <w:spacing w:after="120" w:before="60" w:line="276"/>
        <w:ind w:left="720" w:hanging="720"/>
        <w:jc w:val="both"/>
      </w:pPr>
      <w:r>
        <w:rPr>
          <w:rFonts w:ascii="Calibri" w:cs="Calibri" w:eastAsia="Calibri" w:hAnsi="Calibri"/>
          <w:sz w:val="21"/>
          <w:szCs w:val="21"/>
        </w:rPr>
        <w:t xml:space="preserve">4.1	</w:t>
      </w:r>
      <w:r>
        <w:rPr>
          <w:rFonts w:ascii="Calibri" w:cs="Calibri" w:eastAsia="Calibri" w:hAnsi="Calibri"/>
          <w:i/>
          <w:iCs/>
          <w:sz w:val="21"/>
          <w:szCs w:val="21"/>
        </w:rPr>
        <w:t xml:space="preserve">The accounts filing point changes minds. A group that does not wish its parent financial statements placed on a public register in the UAE chooses a subsidiary. Confirm the current requirement for the emirate and activity before committing to a branch.</w:t>
      </w:r>
    </w:p>
    <w:p>
      <w:pPr>
        <w:keepNext/>
        <w:spacing w:after="120" w:before="280"/>
        <w:outlineLvl w:val="0"/>
      </w:pPr>
      <w:r>
        <w:rPr>
          <w:rFonts w:ascii="Calibri" w:cs="Calibri" w:eastAsia="Calibri" w:hAnsi="Calibri"/>
          <w:b/>
          <w:bCs/>
          <w:color w:val="14161B"/>
          <w:sz w:val="22"/>
          <w:szCs w:val="22"/>
        </w:rPr>
        <w:t xml:space="preserve">5. TAX</w:t>
      </w:r>
    </w:p>
    <w:p>
      <w:pPr>
        <w:spacing w:after="120" w:before="60" w:line="276"/>
        <w:ind w:left="720" w:hanging="720"/>
        <w:jc w:val="both"/>
      </w:pPr>
      <w:r>
        <w:rPr>
          <w:rFonts w:ascii="Calibri" w:cs="Calibri" w:eastAsia="Calibri" w:hAnsi="Calibri"/>
          <w:sz w:val="21"/>
          <w:szCs w:val="21"/>
        </w:rPr>
        <w:t xml:space="preserve">5.1	</w:t>
      </w:r>
      <w:r>
        <w:rPr>
          <w:rFonts w:ascii="Calibri" w:cs="Calibri" w:eastAsia="Calibri" w:hAnsi="Calibri"/>
          <w:sz w:val="21"/>
          <w:szCs w:val="21"/>
        </w:rPr>
        <w:t xml:space="preserve">A branch is generally treated as a </w:t>
      </w:r>
      <w:r>
        <w:rPr>
          <w:rFonts w:ascii="Calibri" w:cs="Calibri" w:eastAsia="Calibri" w:hAnsi="Calibri"/>
          <w:b/>
          <w:bCs/>
          <w:sz w:val="21"/>
          <w:szCs w:val="21"/>
        </w:rPr>
        <w:t xml:space="preserve">permanent establishment</w:t>
      </w:r>
      <w:r>
        <w:rPr>
          <w:rFonts w:ascii="Calibri" w:cs="Calibri" w:eastAsia="Calibri" w:hAnsi="Calibri"/>
          <w:sz w:val="21"/>
          <w:szCs w:val="21"/>
        </w:rPr>
        <w:t xml:space="preserve"> of the foreign parent and is a taxable person for corporate tax, registering and filing in its own right.</w:t>
      </w:r>
    </w:p>
    <w:p>
      <w:pPr>
        <w:spacing w:after="120" w:before="60" w:line="276"/>
        <w:ind w:left="720" w:hanging="720"/>
        <w:jc w:val="both"/>
      </w:pPr>
      <w:r>
        <w:rPr>
          <w:rFonts w:ascii="Calibri" w:cs="Calibri" w:eastAsia="Calibri" w:hAnsi="Calibri"/>
          <w:sz w:val="21"/>
          <w:szCs w:val="21"/>
        </w:rPr>
        <w:t xml:space="preserve">5.2	</w:t>
      </w:r>
      <w:r>
        <w:rPr>
          <w:rFonts w:ascii="Calibri" w:cs="Calibri" w:eastAsia="Calibri" w:hAnsi="Calibri"/>
          <w:sz w:val="21"/>
          <w:szCs w:val="21"/>
        </w:rPr>
        <w:t xml:space="preserve">Profits attributable to the branch are taxed. Attribution must be on an </w:t>
      </w:r>
      <w:r>
        <w:rPr>
          <w:rFonts w:ascii="Calibri" w:cs="Calibri" w:eastAsia="Calibri" w:hAnsi="Calibri"/>
          <w:b/>
          <w:bCs/>
          <w:sz w:val="21"/>
          <w:szCs w:val="21"/>
        </w:rPr>
        <w:t xml:space="preserve">arm’s length basis</w:t>
      </w:r>
      <w:r>
        <w:rPr>
          <w:rFonts w:ascii="Calibri" w:cs="Calibri" w:eastAsia="Calibri" w:hAnsi="Calibri"/>
          <w:sz w:val="21"/>
          <w:szCs w:val="21"/>
        </w:rPr>
        <w:t xml:space="preserve">, and dealings between the branch and the head office are subject to transfer pricing principles.</w:t>
      </w:r>
    </w:p>
    <w:p>
      <w:pPr>
        <w:spacing w:after="120" w:before="60" w:line="276"/>
        <w:ind w:left="720" w:hanging="720"/>
        <w:jc w:val="both"/>
      </w:pPr>
      <w:r>
        <w:rPr>
          <w:rFonts w:ascii="Calibri" w:cs="Calibri" w:eastAsia="Calibri" w:hAnsi="Calibri"/>
          <w:sz w:val="21"/>
          <w:szCs w:val="21"/>
        </w:rPr>
        <w:t xml:space="preserve">5.3	</w:t>
      </w:r>
      <w:r>
        <w:rPr>
          <w:rFonts w:ascii="Calibri" w:cs="Calibri" w:eastAsia="Calibri" w:hAnsi="Calibri"/>
          <w:sz w:val="21"/>
          <w:szCs w:val="21"/>
        </w:rPr>
        <w:t xml:space="preserve">A branch is generally treated as </w:t>
      </w:r>
      <w:r>
        <w:rPr>
          <w:rFonts w:ascii="Calibri" w:cs="Calibri" w:eastAsia="Calibri" w:hAnsi="Calibri"/>
          <w:b/>
          <w:bCs/>
          <w:sz w:val="21"/>
          <w:szCs w:val="21"/>
        </w:rPr>
        <w:t xml:space="preserve">non-resident</w:t>
      </w:r>
      <w:r>
        <w:rPr>
          <w:rFonts w:ascii="Calibri" w:cs="Calibri" w:eastAsia="Calibri" w:hAnsi="Calibri"/>
          <w:sz w:val="21"/>
          <w:szCs w:val="21"/>
        </w:rPr>
        <w:t xml:space="preserve">, which affects access to treaty benefits. A subsidiary is generally resident.</w:t>
      </w:r>
    </w:p>
    <w:p>
      <w:pPr>
        <w:spacing w:after="120" w:before="60" w:line="276"/>
        <w:ind w:left="720" w:hanging="720"/>
        <w:jc w:val="both"/>
      </w:pPr>
      <w:r>
        <w:rPr>
          <w:rFonts w:ascii="Calibri" w:cs="Calibri" w:eastAsia="Calibri" w:hAnsi="Calibri"/>
          <w:sz w:val="21"/>
          <w:szCs w:val="21"/>
        </w:rPr>
        <w:t xml:space="preserve">5.4	</w:t>
      </w:r>
      <w:r>
        <w:rPr>
          <w:rFonts w:ascii="Calibri" w:cs="Calibri" w:eastAsia="Calibri" w:hAnsi="Calibri"/>
          <w:sz w:val="21"/>
          <w:szCs w:val="21"/>
        </w:rPr>
        <w:t xml:space="preserve">A </w:t>
      </w:r>
      <w:r>
        <w:rPr>
          <w:rFonts w:ascii="Calibri" w:cs="Calibri" w:eastAsia="Calibri" w:hAnsi="Calibri"/>
          <w:b/>
          <w:bCs/>
          <w:sz w:val="21"/>
          <w:szCs w:val="21"/>
        </w:rPr>
        <w:t xml:space="preserve">representative office</w:t>
      </w:r>
      <w:r>
        <w:rPr>
          <w:rFonts w:ascii="Calibri" w:cs="Calibri" w:eastAsia="Calibri" w:hAnsi="Calibri"/>
          <w:sz w:val="21"/>
          <w:szCs w:val="21"/>
        </w:rPr>
        <w:t xml:space="preserve"> does not earn revenue, but registration and filing obligations should still be confirmed — do not assume no revenue means no obligations.</w:t>
      </w:r>
    </w:p>
    <w:p>
      <w:pPr>
        <w:spacing w:after="120" w:before="60" w:line="276"/>
        <w:ind w:left="720" w:hanging="720"/>
        <w:jc w:val="both"/>
      </w:pPr>
      <w:r>
        <w:rPr>
          <w:rFonts w:ascii="Calibri" w:cs="Calibri" w:eastAsia="Calibri" w:hAnsi="Calibri"/>
          <w:sz w:val="21"/>
          <w:szCs w:val="21"/>
        </w:rPr>
        <w:t xml:space="preserve">5.5	</w:t>
      </w:r>
      <w:r>
        <w:rPr>
          <w:rFonts w:ascii="Calibri" w:cs="Calibri" w:eastAsia="Calibri" w:hAnsi="Calibri"/>
          <w:i/>
          <w:iCs/>
          <w:sz w:val="21"/>
          <w:szCs w:val="21"/>
        </w:rPr>
        <w:t xml:space="preserve">Head office recharges to a branch are the classic transfer pricing exposure. Document what was actually provided and how the charge was determined.</w:t>
      </w:r>
    </w:p>
    <w:p>
      <w:pPr>
        <w:keepNext/>
        <w:spacing w:after="120" w:before="280"/>
        <w:outlineLvl w:val="0"/>
      </w:pPr>
      <w:r>
        <w:rPr>
          <w:rFonts w:ascii="Calibri" w:cs="Calibri" w:eastAsia="Calibri" w:hAnsi="Calibri"/>
          <w:b/>
          <w:bCs/>
          <w:color w:val="14161B"/>
          <w:sz w:val="22"/>
          <w:szCs w:val="22"/>
        </w:rPr>
        <w:t xml:space="preserve">6. CONVERSION AND CLOSURE</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2891"/>
        <w:gridCol w:w="6747"/>
      </w:tblGrid>
      <w:tr>
        <w:trPr>
          <w:cantSplit/>
          <w:tblHeader/>
        </w:trPr>
        <w:tc>
          <w:tcPr>
            <w:tcW w:type="dxa" w:w="289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Situation</w:t>
            </w:r>
          </w:p>
        </w:tc>
        <w:tc>
          <w:tcPr>
            <w:tcW w:type="dxa" w:w="674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Note</w:t>
            </w:r>
          </w:p>
        </w:tc>
      </w:tr>
      <w:tr>
        <w:trPr>
          <w:cantSplit/>
        </w:trP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Representative office starting to trade</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Convert first.</w:t>
            </w:r>
            <w:r>
              <w:rPr>
                <w:rFonts w:ascii="Calibri" w:cs="Calibri" w:eastAsia="Calibri" w:hAnsi="Calibri"/>
                <w:sz w:val="18"/>
                <w:szCs w:val="18"/>
              </w:rPr>
              <w:t xml:space="preserve"> Trading outside the licence is a contravention</w:t>
            </w:r>
          </w:p>
        </w:tc>
      </w:tr>
      <w:tr>
        <w:trPr>
          <w:cantSplit/>
        </w:trP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Branch converting to a subsidiary</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 new entity, new licence, new contracts — plan the transition of employees and agreements</w:t>
            </w:r>
          </w:p>
        </w:tc>
      </w:tr>
      <w:tr>
        <w:trPr>
          <w:cantSplit/>
        </w:trP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Closing a branch</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Settle employees within 14 days, cancel permits and visas, deregister for tax, obtain clearances, cancel the licence</w:t>
            </w:r>
          </w:p>
        </w:tc>
      </w:tr>
      <w:tr>
        <w:trPr>
          <w:cantSplit/>
        </w:trP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Parent restructuring or renaming</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Notify and update the branch registration</w:t>
            </w:r>
          </w:p>
        </w:tc>
      </w:tr>
      <w:tr>
        <w:trPr>
          <w:cantSplit/>
        </w:trP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Parent insolvency</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The branch has no separate legal personality — take advice immediately</w:t>
            </w:r>
          </w:p>
        </w:tc>
      </w:tr>
    </w:tbl>
    <w:p>
      <w:pPr>
        <w:keepNext/>
        <w:pageBreakBefore/>
        <w:spacing w:after="60" w:before="0"/>
      </w:pPr>
      <w:r>
        <w:rPr>
          <w:rFonts w:ascii="Calibri" w:cs="Calibri" w:eastAsia="Calibri" w:hAnsi="Calibri"/>
          <w:b/>
          <w:bCs/>
          <w:color w:val="14161B"/>
          <w:sz w:val="22"/>
          <w:szCs w:val="22"/>
        </w:rPr>
        <w:t xml:space="preserve">NOTES FOR USE</w:t>
      </w:r>
    </w:p>
    <w:p>
      <w:pPr>
        <w:pBdr>
          <w:bottom w:val="single" w:color="C9CCD3" w:sz="6" w:space="4"/>
        </w:pBdr>
        <w:spacing w:after="200"/>
      </w:pPr>
      <w:r>
        <w:rPr>
          <w:rFonts w:ascii="Calibri" w:cs="Calibri" w:eastAsia="Calibri" w:hAnsi="Calibri"/>
          <w:i/>
          <w:iCs/>
          <w:color w:val="6E7480"/>
          <w:sz w:val="17"/>
          <w:szCs w:val="17"/>
        </w:rPr>
        <w:t xml:space="preserve">Delete this page before execution. It is guidance, not part of the agreement.</w:t>
      </w:r>
    </w:p>
    <w:p>
      <w:pPr>
        <w:keepNext/>
        <w:spacing w:after="40" w:before="140"/>
      </w:pPr>
      <w:r>
        <w:rPr>
          <w:rFonts w:ascii="Calibri" w:cs="Calibri" w:eastAsia="Calibri" w:hAnsi="Calibri"/>
          <w:b/>
          <w:bCs/>
          <w:color w:val="14161B"/>
          <w:sz w:val="20"/>
          <w:szCs w:val="20"/>
        </w:rPr>
        <w:t xml:space="preserve">A branch is not a separate entity</w:t>
      </w:r>
    </w:p>
    <w:p>
      <w:pPr>
        <w:spacing w:after="60" w:line="264"/>
        <w:jc w:val="both"/>
      </w:pPr>
      <w:r>
        <w:rPr>
          <w:rFonts w:ascii="Calibri" w:cs="Calibri" w:eastAsia="Calibri" w:hAnsi="Calibri"/>
          <w:sz w:val="19"/>
          <w:szCs w:val="19"/>
        </w:rPr>
        <w:t xml:space="preserve">It is an extension of the foreign parent, which remains liable for everything the branch does. There is no ring-fence. For most foreign companies entering the market, a subsidiary is the better answer precisely because it separates liability.</w:t>
      </w:r>
    </w:p>
    <w:p>
      <w:pPr>
        <w:keepNext/>
        <w:spacing w:after="40" w:before="140"/>
      </w:pPr>
      <w:r>
        <w:rPr>
          <w:rFonts w:ascii="Calibri" w:cs="Calibri" w:eastAsia="Calibri" w:hAnsi="Calibri"/>
          <w:b/>
          <w:bCs/>
          <w:color w:val="14161B"/>
          <w:sz w:val="20"/>
          <w:szCs w:val="20"/>
        </w:rPr>
        <w:t xml:space="preserve">A representative office cannot trade at all</w:t>
      </w:r>
    </w:p>
    <w:p>
      <w:pPr>
        <w:spacing w:after="60" w:line="264"/>
        <w:jc w:val="both"/>
      </w:pPr>
      <w:r>
        <w:rPr>
          <w:rFonts w:ascii="Calibri" w:cs="Calibri" w:eastAsia="Calibri" w:hAnsi="Calibri"/>
          <w:sz w:val="19"/>
          <w:szCs w:val="19"/>
        </w:rPr>
        <w:t xml:space="preserve">No contracts, no invoices, no revenue, no stock. It may promote, liaise and gather information. Companies choose it for the lower cost and then operate it as a trading branch, which is discoverable through banking activity, invoices and customer contact. Convert before trading.</w:t>
      </w:r>
    </w:p>
    <w:p>
      <w:pPr>
        <w:keepNext/>
        <w:spacing w:after="40" w:before="140"/>
      </w:pPr>
      <w:r>
        <w:rPr>
          <w:rFonts w:ascii="Calibri" w:cs="Calibri" w:eastAsia="Calibri" w:hAnsi="Calibri"/>
          <w:b/>
          <w:bCs/>
          <w:color w:val="14161B"/>
          <w:sz w:val="20"/>
          <w:szCs w:val="20"/>
        </w:rPr>
        <w:t xml:space="preserve">Check the national service agent position — it has changed</w:t>
      </w:r>
    </w:p>
    <w:p>
      <w:pPr>
        <w:spacing w:after="60" w:line="264"/>
        <w:jc w:val="both"/>
      </w:pPr>
      <w:r>
        <w:rPr>
          <w:rFonts w:ascii="Calibri" w:cs="Calibri" w:eastAsia="Calibri" w:hAnsi="Calibri"/>
          <w:sz w:val="19"/>
          <w:szCs w:val="19"/>
        </w:rPr>
        <w:t xml:space="preserve">Historic requirements for a local service agent for branches have been amended as part of the broader ownership reforms. Do not assume either the old position or the new one; confirm with the relevant authority for the specific emirate and activity.</w:t>
      </w:r>
    </w:p>
    <w:p>
      <w:pPr>
        <w:keepNext/>
        <w:spacing w:after="40" w:before="140"/>
      </w:pPr>
      <w:r>
        <w:rPr>
          <w:rFonts w:ascii="Calibri" w:cs="Calibri" w:eastAsia="Calibri" w:hAnsi="Calibri"/>
          <w:b/>
          <w:bCs/>
          <w:color w:val="14161B"/>
          <w:sz w:val="20"/>
          <w:szCs w:val="20"/>
        </w:rPr>
        <w:t xml:space="preserve">A branch cannot exceed the parent’s activities</w:t>
      </w:r>
    </w:p>
    <w:p>
      <w:pPr>
        <w:spacing w:after="60" w:line="264"/>
        <w:jc w:val="both"/>
      </w:pPr>
      <w:r>
        <w:rPr>
          <w:rFonts w:ascii="Calibri" w:cs="Calibri" w:eastAsia="Calibri" w:hAnsi="Calibri"/>
          <w:sz w:val="19"/>
          <w:szCs w:val="19"/>
        </w:rPr>
        <w:t xml:space="preserve">The branch licence is derived from what the parent is licensed or incorporated to do. Applying for activities the parent does not carry on will be refused, and operating beyond the granted scope is a contravention.</w:t>
      </w:r>
    </w:p>
    <w:p>
      <w:pPr>
        <w:keepNext/>
        <w:spacing w:after="40" w:before="140"/>
      </w:pPr>
      <w:r>
        <w:rPr>
          <w:rFonts w:ascii="Calibri" w:cs="Calibri" w:eastAsia="Calibri" w:hAnsi="Calibri"/>
          <w:b/>
          <w:bCs/>
          <w:color w:val="14161B"/>
          <w:sz w:val="20"/>
          <w:szCs w:val="20"/>
        </w:rPr>
        <w:t xml:space="preserve">Attestation is the long pole — start it first</w:t>
      </w:r>
    </w:p>
    <w:p>
      <w:pPr>
        <w:spacing w:after="60" w:line="264"/>
        <w:jc w:val="both"/>
      </w:pPr>
      <w:r>
        <w:rPr>
          <w:rFonts w:ascii="Calibri" w:cs="Calibri" w:eastAsia="Calibri" w:hAnsi="Calibri"/>
          <w:sz w:val="19"/>
          <w:szCs w:val="19"/>
        </w:rPr>
        <w:t xml:space="preserve">Certificate of incorporation, constitution, board resolution, power of attorney and audited accounts all need attestation in the country of origin, embassy legalisation, Ministry of Foreign Affairs attestation and Arabic translation. Three to six weeks, and nothing else can proceed without it.</w:t>
      </w:r>
    </w:p>
    <w:p>
      <w:pPr>
        <w:keepNext/>
        <w:spacing w:after="40" w:before="140"/>
      </w:pPr>
      <w:r>
        <w:rPr>
          <w:rFonts w:ascii="Calibri" w:cs="Calibri" w:eastAsia="Calibri" w:hAnsi="Calibri"/>
          <w:b/>
          <w:bCs/>
          <w:color w:val="14161B"/>
          <w:sz w:val="20"/>
          <w:szCs w:val="20"/>
        </w:rPr>
        <w:t xml:space="preserve">Parent accounts may become public</w:t>
      </w:r>
    </w:p>
    <w:p>
      <w:pPr>
        <w:spacing w:after="60" w:line="264"/>
        <w:jc w:val="both"/>
      </w:pPr>
      <w:r>
        <w:rPr>
          <w:rFonts w:ascii="Calibri" w:cs="Calibri" w:eastAsia="Calibri" w:hAnsi="Calibri"/>
          <w:sz w:val="19"/>
          <w:szCs w:val="19"/>
        </w:rPr>
        <w:t xml:space="preserve">A branch may be required to file the foreign parent’s own financial statements as well as branch accounts. For many groups this single point decides the branch-versus-subsidiary question. Confirm the requirement before committing.</w:t>
      </w:r>
    </w:p>
    <w:p>
      <w:pPr>
        <w:keepNext/>
        <w:spacing w:after="40" w:before="140"/>
      </w:pPr>
      <w:r>
        <w:rPr>
          <w:rFonts w:ascii="Calibri" w:cs="Calibri" w:eastAsia="Calibri" w:hAnsi="Calibri"/>
          <w:b/>
          <w:bCs/>
          <w:color w:val="14161B"/>
          <w:sz w:val="20"/>
          <w:szCs w:val="20"/>
        </w:rPr>
        <w:t xml:space="preserve">Tax residence differs</w:t>
      </w:r>
    </w:p>
    <w:p>
      <w:pPr>
        <w:spacing w:after="60" w:line="264"/>
        <w:jc w:val="both"/>
      </w:pPr>
      <w:r>
        <w:rPr>
          <w:rFonts w:ascii="Calibri" w:cs="Calibri" w:eastAsia="Calibri" w:hAnsi="Calibri"/>
          <w:sz w:val="19"/>
          <w:szCs w:val="19"/>
        </w:rPr>
        <w:t xml:space="preserve">A branch is generally treated as non-resident, which affects access to treaty benefits and incentives. A subsidiary is generally resident. Where the group wants UAE tax residence, the subsidiary is the route — take advice specific to the group.</w:t>
      </w:r>
    </w:p>
    <w:p>
      <w:pPr>
        <w:keepNext/>
        <w:spacing w:after="40" w:before="140"/>
      </w:pPr>
      <w:r>
        <w:rPr>
          <w:rFonts w:ascii="Calibri" w:cs="Calibri" w:eastAsia="Calibri" w:hAnsi="Calibri"/>
          <w:b/>
          <w:bCs/>
          <w:color w:val="14161B"/>
          <w:sz w:val="20"/>
          <w:szCs w:val="20"/>
        </w:rPr>
        <w:t xml:space="preserve">Head office recharges are a transfer pricing exposure</w:t>
      </w:r>
    </w:p>
    <w:p>
      <w:pPr>
        <w:spacing w:after="60" w:line="264"/>
        <w:jc w:val="both"/>
      </w:pPr>
      <w:r>
        <w:rPr>
          <w:rFonts w:ascii="Calibri" w:cs="Calibri" w:eastAsia="Calibri" w:hAnsi="Calibri"/>
          <w:sz w:val="19"/>
          <w:szCs w:val="19"/>
        </w:rPr>
        <w:t xml:space="preserve">Charges from the parent to the branch must be at arm’s length with evidence of what was actually provided. Round-sum management charges allocated for internal convenience are the most commonly adjusted item in a branch structure.</w:t>
      </w:r>
    </w:p>
    <w:p>
      <w:pPr>
        <w:keepNext/>
        <w:spacing w:after="40" w:before="140"/>
      </w:pPr>
      <w:r>
        <w:rPr>
          <w:rFonts w:ascii="Calibri" w:cs="Calibri" w:eastAsia="Calibri" w:hAnsi="Calibri"/>
          <w:b/>
          <w:bCs/>
          <w:color w:val="14161B"/>
          <w:sz w:val="20"/>
          <w:szCs w:val="20"/>
        </w:rPr>
        <w:t xml:space="preserve">Full employer obligations apply</w:t>
      </w:r>
    </w:p>
    <w:p>
      <w:pPr>
        <w:spacing w:after="60" w:line="264"/>
        <w:jc w:val="both"/>
      </w:pPr>
      <w:r>
        <w:rPr>
          <w:rFonts w:ascii="Calibri" w:cs="Calibri" w:eastAsia="Calibri" w:hAnsi="Calibri"/>
          <w:sz w:val="19"/>
          <w:szCs w:val="19"/>
        </w:rPr>
        <w:t xml:space="preserve">WPS, health insurance, gratuity, work permits and — for a mainland branch — Emiratisation all apply as they would to any UAE employer. A branch is not a lighter employment environment.</w:t>
      </w:r>
    </w:p>
    <w:p>
      <w:pPr>
        <w:keepNext/>
        <w:spacing w:after="40" w:before="140"/>
      </w:pPr>
      <w:r>
        <w:rPr>
          <w:rFonts w:ascii="Calibri" w:cs="Calibri" w:eastAsia="Calibri" w:hAnsi="Calibri"/>
          <w:b/>
          <w:bCs/>
          <w:color w:val="14161B"/>
          <w:sz w:val="20"/>
          <w:szCs w:val="20"/>
        </w:rPr>
        <w:t xml:space="preserve">UBO looks through to the parent</w:t>
      </w:r>
    </w:p>
    <w:p>
      <w:pPr>
        <w:spacing w:after="60" w:line="264"/>
        <w:jc w:val="both"/>
      </w:pPr>
      <w:r>
        <w:rPr>
          <w:rFonts w:ascii="Calibri" w:cs="Calibri" w:eastAsia="Calibri" w:hAnsi="Calibri"/>
          <w:sz w:val="19"/>
          <w:szCs w:val="19"/>
        </w:rPr>
        <w:t xml:space="preserve">Beneficial ownership information must identify the natural persons who ultimately own or control the foreign parent, not simply name the parent. Groups file the parent and consider the obligation met.</w:t>
      </w:r>
    </w:p>
    <w:p>
      <w:pPr>
        <w:keepNext/>
        <w:spacing w:after="40" w:before="140"/>
      </w:pPr>
      <w:r>
        <w:rPr>
          <w:rFonts w:ascii="Calibri" w:cs="Calibri" w:eastAsia="Calibri" w:hAnsi="Calibri"/>
          <w:b/>
          <w:bCs/>
          <w:color w:val="14161B"/>
          <w:sz w:val="20"/>
          <w:szCs w:val="20"/>
        </w:rPr>
        <w:t xml:space="preserve">Bank account opening will scrutinise the parent</w:t>
      </w:r>
    </w:p>
    <w:p>
      <w:pPr>
        <w:spacing w:after="60" w:line="264"/>
        <w:jc w:val="both"/>
      </w:pPr>
      <w:r>
        <w:rPr>
          <w:rFonts w:ascii="Calibri" w:cs="Calibri" w:eastAsia="Calibri" w:hAnsi="Calibri"/>
          <w:sz w:val="19"/>
          <w:szCs w:val="19"/>
        </w:rPr>
        <w:t xml:space="preserve">Corporate account opening for a branch involves due diligence on the foreign parent, its ownership chain and its source of funds. It is the slowest step and it sits on the critical path for WPS and payroll.</w:t>
      </w:r>
    </w:p>
    <w:p>
      <w:pPr>
        <w:keepNext/>
        <w:spacing w:after="40" w:before="140"/>
      </w:pPr>
      <w:r>
        <w:rPr>
          <w:rFonts w:ascii="Calibri" w:cs="Calibri" w:eastAsia="Calibri" w:hAnsi="Calibri"/>
          <w:b/>
          <w:bCs/>
          <w:color w:val="14161B"/>
          <w:sz w:val="20"/>
          <w:szCs w:val="20"/>
        </w:rPr>
        <w:t xml:space="preserve">Notify changes at parent level</w:t>
      </w:r>
    </w:p>
    <w:p>
      <w:pPr>
        <w:spacing w:after="60" w:line="264"/>
        <w:jc w:val="both"/>
      </w:pPr>
      <w:r>
        <w:rPr>
          <w:rFonts w:ascii="Calibri" w:cs="Calibri" w:eastAsia="Calibri" w:hAnsi="Calibri"/>
          <w:sz w:val="19"/>
          <w:szCs w:val="19"/>
        </w:rPr>
        <w:t xml:space="preserve">A change of parent name, ownership, directors or constitution needs reflecting in the branch registration. Groups update the parent and forget the branch, and the discrepancy surfaces at renewal or a bank review.</w:t>
      </w:r>
    </w:p>
    <w:p>
      <w:pPr>
        <w:keepNext/>
        <w:spacing w:after="40" w:before="140"/>
      </w:pPr>
      <w:r>
        <w:rPr>
          <w:rFonts w:ascii="Calibri" w:cs="Calibri" w:eastAsia="Calibri" w:hAnsi="Calibri"/>
          <w:b/>
          <w:bCs/>
          <w:color w:val="14161B"/>
          <w:sz w:val="20"/>
          <w:szCs w:val="20"/>
        </w:rPr>
        <w:t xml:space="preserve">Parent insolvency reaches the branch</w:t>
      </w:r>
    </w:p>
    <w:p>
      <w:pPr>
        <w:spacing w:after="60" w:line="264"/>
        <w:jc w:val="both"/>
      </w:pPr>
      <w:r>
        <w:rPr>
          <w:rFonts w:ascii="Calibri" w:cs="Calibri" w:eastAsia="Calibri" w:hAnsi="Calibri"/>
          <w:sz w:val="19"/>
          <w:szCs w:val="19"/>
        </w:rPr>
        <w:t xml:space="preserve">With no separate legal personality, insolvency of the parent directly affects the branch and its creditors, employees and contracts. Take advice immediately rather than assuming the UAE presence is insulated.</w:t>
      </w:r>
    </w:p>
    <w:p>
      <w:pPr>
        <w:keepNext/>
        <w:spacing w:after="40" w:before="140"/>
      </w:pPr>
      <w:r>
        <w:rPr>
          <w:rFonts w:ascii="Calibri" w:cs="Calibri" w:eastAsia="Calibri" w:hAnsi="Calibri"/>
          <w:b/>
          <w:bCs/>
          <w:color w:val="14161B"/>
          <w:sz w:val="20"/>
          <w:szCs w:val="20"/>
        </w:rPr>
        <w:t xml:space="preserve">Plan a conversion properly</w:t>
      </w:r>
    </w:p>
    <w:p>
      <w:pPr>
        <w:spacing w:after="60" w:line="264"/>
        <w:jc w:val="both"/>
      </w:pPr>
      <w:r>
        <w:rPr>
          <w:rFonts w:ascii="Calibri" w:cs="Calibri" w:eastAsia="Calibri" w:hAnsi="Calibri"/>
          <w:sz w:val="19"/>
          <w:szCs w:val="19"/>
        </w:rPr>
        <w:t xml:space="preserve">Moving from a branch or representative office to a subsidiary means a new entity, new licence, new contracts and a transition for employees — whose employment ends with one entity and begins with another, crystallising gratuity. Sequence it deliberately.</w:t>
      </w:r>
    </w:p>
    <w:p>
      <w:pPr>
        <w:keepNext/>
        <w:spacing w:after="40" w:before="140"/>
      </w:pPr>
      <w:r>
        <w:rPr>
          <w:rFonts w:ascii="Calibri" w:cs="Calibri" w:eastAsia="Calibri" w:hAnsi="Calibri"/>
          <w:b/>
          <w:bCs/>
          <w:color w:val="14161B"/>
          <w:sz w:val="20"/>
          <w:szCs w:val="20"/>
        </w:rPr>
        <w:t xml:space="preserve">Current as of</w:t>
      </w:r>
    </w:p>
    <w:p>
      <w:pPr>
        <w:spacing w:after="60" w:line="264"/>
        <w:jc w:val="both"/>
      </w:pPr>
      <w:r>
        <w:rPr>
          <w:rFonts w:ascii="Calibri" w:cs="Calibri" w:eastAsia="Calibri" w:hAnsi="Calibri"/>
          <w:sz w:val="19"/>
          <w:szCs w:val="19"/>
        </w:rPr>
        <w:t xml:space="preserve">Reflects UAE law and practice current as of </w:t>
      </w:r>
      <w:r>
        <w:rPr>
          <w:rFonts w:ascii="Calibri" w:cs="Calibri" w:eastAsia="Calibri" w:hAnsi="Calibri"/>
          <w:b/>
          <w:bCs/>
          <w:sz w:val="19"/>
          <w:szCs w:val="19"/>
        </w:rPr>
        <w:t xml:space="preserve">[DATE OF USE]</w:t>
      </w:r>
      <w:r>
        <w:rPr>
          <w:rFonts w:ascii="Calibri" w:cs="Calibri" w:eastAsia="Calibri" w:hAnsi="Calibri"/>
          <w:sz w:val="19"/>
          <w:szCs w:val="19"/>
        </w:rPr>
        <w:t xml:space="preserve">. Branch and representative office requirements, national service agent rules, permitted activities, accounts filing obligations, attestation procedures and tax treatment differ by emirate and free zone and change — confirm with the relevant authority and take legal and tax advice before establishing a presence.</w:t>
      </w:r>
    </w:p>
    <w:sectPr>
      <w:headerReference w:type="default" r:id="rId7"/>
      <w:headerReference w:type="first" r:id="rId8"/>
      <w:footerReference w:type="default" r:id="rId9"/>
      <w:footerReference w:type="first" r:id="rId10"/>
      <w:pgSz w:w="11906" w:h="16838" w:orient="portrait"/>
      <w:pgMar w:top="1080" w:right="1134" w:bottom="1080" w:left="1134"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CCD3" w:sz="6" w:space="6"/>
      </w:pBdr>
      <w:spacing w:after="200"/>
      <w:jc w:val="center"/>
    </w:pPr>
    <w:r>
      <w:rPr>
        <w:rFonts w:ascii="Calibri" w:cs="Calibri" w:eastAsia="Calibri" w:hAnsi="Calibri"/>
        <w:i/>
        <w:iCs/>
        <w:color w:val="6E7480"/>
        <w:sz w:val="17"/>
        <w:szCs w:val="17"/>
      </w:rPr>
      <w:t xml:space="preserve">[HEADER — replace with your organisation's letterhead, if used]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4161B"/>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Helion ERP</dc:creator>
  <dc:description>Template generated from www.helionerp.com</dc:description>
  <cp:lastModifiedBy>Un-named</cp:lastModifiedBy>
  <cp:revision>1</cp:revision>
  <dcterms:created xsi:type="dcterms:W3CDTF">2026-08-23T16:28:35.802Z</dcterms:created>
  <dcterms:modified xsi:type="dcterms:W3CDTF">2026-08-23T16:28:35.802Z</dcterms:modified>
</cp:coreProperties>
</file>

<file path=docProps/custom.xml><?xml version="1.0" encoding="utf-8"?>
<Properties xmlns="http://schemas.openxmlformats.org/officeDocument/2006/custom-properties" xmlns:vt="http://schemas.openxmlformats.org/officeDocument/2006/docPropsVTypes"/>
</file>