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BILINGUAL DOCUMENTS AND LEGAL TRANSLATION</w:t>
      </w:r>
    </w:p>
    <w:p>
      <w:pPr>
        <w:spacing w:after="260"/>
        <w:jc w:val="center"/>
      </w:pPr>
      <w:r>
        <w:rPr>
          <w:rFonts w:ascii="Calibri" w:cs="Calibri" w:eastAsia="Calibri" w:hAnsi="Calibri"/>
          <w:i/>
          <w:iCs/>
          <w:color w:val="6E7480"/>
          <w:sz w:val="19"/>
          <w:szCs w:val="19"/>
        </w:rPr>
        <w:t xml:space="preserve">When Arabic is required, and how to get it right</w:t>
      </w:r>
    </w:p>
    <w:p>
      <w:pPr>
        <w:spacing w:after="180" w:before="0" w:line="276"/>
        <w:jc w:val="both"/>
      </w:pPr>
      <w:r>
        <w:rPr>
          <w:rFonts w:ascii="Calibri" w:cs="Calibri" w:eastAsia="Calibri" w:hAnsi="Calibri"/>
          <w:i/>
          <w:iCs/>
          <w:color w:val="6E7480"/>
          <w:sz w:val="21"/>
          <w:szCs w:val="21"/>
        </w:rPr>
        <w:t xml:space="preserve">Two facts shape every decision here. </w:t>
      </w:r>
      <w:r>
        <w:rPr>
          <w:rFonts w:ascii="Calibri" w:cs="Calibri" w:eastAsia="Calibri" w:hAnsi="Calibri"/>
          <w:b/>
          <w:bCs/>
          <w:i/>
          <w:iCs/>
          <w:color w:val="6E7480"/>
          <w:sz w:val="21"/>
          <w:szCs w:val="21"/>
        </w:rPr>
        <w:t xml:space="preserve">In an onshore dispute the Arabic version prevails</w:t>
      </w:r>
      <w:r>
        <w:rPr>
          <w:rFonts w:ascii="Calibri" w:cs="Calibri" w:eastAsia="Calibri" w:hAnsi="Calibri"/>
          <w:i/>
          <w:iCs/>
          <w:color w:val="6E7480"/>
          <w:sz w:val="21"/>
          <w:szCs w:val="21"/>
        </w:rPr>
        <w:t xml:space="preserve">, whatever the English says. And for filing with a UAE court or ministry, translation must be done by a </w:t>
      </w:r>
      <w:r>
        <w:rPr>
          <w:rFonts w:ascii="Calibri" w:cs="Calibri" w:eastAsia="Calibri" w:hAnsi="Calibri"/>
          <w:b/>
          <w:bCs/>
          <w:i/>
          <w:iCs/>
          <w:color w:val="6E7480"/>
          <w:sz w:val="21"/>
          <w:szCs w:val="21"/>
        </w:rPr>
        <w:t xml:space="preserve">Ministry of Justice licensed legal translator</w:t>
      </w:r>
      <w:r>
        <w:rPr>
          <w:rFonts w:ascii="Calibri" w:cs="Calibri" w:eastAsia="Calibri" w:hAnsi="Calibri"/>
          <w:i/>
          <w:iCs/>
          <w:color w:val="6E7480"/>
          <w:sz w:val="21"/>
          <w:szCs w:val="21"/>
        </w:rPr>
        <w:t xml:space="preserve"> — that is a requirement, not a quality preference. The useful news is that several documents need no translation at all, because the government generates the bilingual version.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Documents assessed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Requiring certified Arabic</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Already bilingual from a government source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English sufficient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Translator engaged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licence number / Not yet]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WHICH DOCUMENTS ACTUALLY NEED ARABIC</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084"/>
        <w:gridCol w:w="4241"/>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Category</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424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Examples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Already bilingual — no translation needed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operative document is generated by the authority in both languages</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MOHRE employment contract; MOHRE offer form; work permit and visa documents; Ejari or Tawtheeq tenancy registration</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Certified Arabic required</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Filed with a court or ministry, notarised, or intended to govern onshore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Memorandum of Association and amendments; powers of attorney; court filings; documents for notarisation</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Bilingual strongly advisable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Signed onshore, may be relied on in a dispute, or signed by Arabic-speaking staff</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Supplementary employment agreements; commercial contracts governed by onshore law; letters of demand; commercial agency agreements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English sufficient</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DIFC and ADGM operate in English; internal policies not filed anywhere</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DIFC and ADGM contracts and policies; internal handbooks; compliance checklists; tax working papers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Practical bilingual, not legal</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Comprehension matters more than legal effect</w:t>
            </w:r>
          </w:p>
        </w:tc>
        <w:tc>
          <w:tcPr>
            <w:tcW w:type="dxa" w:w="424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Safety notices; HR policy summaries; payslip explanations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The first row is the point most often missed. The mainland employment contract is generated through MOHRE in Arabic and English and registered by the ministry. You do not translate it — you make sure your supplementary agreement does not contradict it.</w:t>
      </w:r>
    </w:p>
    <w:p>
      <w:pPr>
        <w:keepNext/>
        <w:spacing w:after="120" w:before="280"/>
        <w:outlineLvl w:val="0"/>
      </w:pPr>
      <w:r>
        <w:rPr>
          <w:rFonts w:ascii="Calibri" w:cs="Calibri" w:eastAsia="Calibri" w:hAnsi="Calibri"/>
          <w:b/>
          <w:bCs/>
          <w:color w:val="14161B"/>
          <w:sz w:val="22"/>
          <w:szCs w:val="22"/>
        </w:rPr>
        <w:t xml:space="preserve">2. COMMISSIONING A LEGAL TRANSLATOR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Use a Ministry of Justice licensed legal translator</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Required for court and ministry filings; ask for the licence number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they translate in the relevant subject area</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Employment, corporate and commercial are different vocabularies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Provide the </w:t>
            </w:r>
            <w:r>
              <w:rPr>
                <w:rFonts w:ascii="Calibri" w:cs="Calibri" w:eastAsia="Calibri" w:hAnsi="Calibri"/>
                <w:b/>
                <w:bCs/>
                <w:sz w:val="17"/>
                <w:szCs w:val="17"/>
              </w:rPr>
              <w:t xml:space="preserve">final</w:t>
            </w:r>
            <w:r>
              <w:rPr>
                <w:rFonts w:ascii="Calibri" w:cs="Calibri" w:eastAsia="Calibri" w:hAnsi="Calibri"/>
                <w:sz w:val="17"/>
                <w:szCs w:val="17"/>
              </w:rPr>
              <w:t xml:space="preserve"> English text, not a draft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Retranslating amendments costs more than waiting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Provide a </w:t>
            </w:r>
            <w:r>
              <w:rPr>
                <w:rFonts w:ascii="Calibri" w:cs="Calibri" w:eastAsia="Calibri" w:hAnsi="Calibri"/>
                <w:b/>
                <w:bCs/>
                <w:sz w:val="17"/>
                <w:szCs w:val="17"/>
              </w:rPr>
              <w:t xml:space="preserve">glossary</w:t>
            </w:r>
            <w:r>
              <w:rPr>
                <w:rFonts w:ascii="Calibri" w:cs="Calibri" w:eastAsia="Calibri" w:hAnsi="Calibri"/>
                <w:sz w:val="17"/>
                <w:szCs w:val="17"/>
              </w:rPr>
              <w:t xml:space="preserve"> of your defined terms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See Section 4 — consistency matters more than elegance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State that the Arabic will be the prevailing version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It changes how carefully they work</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Ask for the translator’s stamp and certification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Needed for filing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Have a second Arabic speaker read it against the English</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different reader catches what the translator missed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numbers, dates, amounts and names character by character</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most common serious error is numerical, not linguistic</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the certified original with the corporate records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just a scan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Re-certify on any amendment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translated amendment to an untranslated base is worse than neither</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Machine translation, general translation agencies and bilingual staff are all fine for understanding a document. None of them produce a version you can file, and none should produce the version that prevails in a dispute.</w:t>
      </w:r>
    </w:p>
    <w:p>
      <w:pPr>
        <w:keepNext/>
        <w:spacing w:after="120" w:before="280"/>
        <w:outlineLvl w:val="0"/>
      </w:pPr>
      <w:r>
        <w:rPr>
          <w:rFonts w:ascii="Calibri" w:cs="Calibri" w:eastAsia="Calibri" w:hAnsi="Calibri"/>
          <w:b/>
          <w:bCs/>
          <w:color w:val="14161B"/>
          <w:sz w:val="22"/>
          <w:szCs w:val="22"/>
        </w:rPr>
        <w:t xml:space="preserve">3. WHAT TO CHECK BEFORE SIGNING A BILINGUAL DOCUMENT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662"/>
        <w:gridCol w:w="4047"/>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Does a prevailing-language clause exist?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Without it the position is uncertain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Which version does it say prevails?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Onshore this is usually Arabic whatever the clause says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the </w:t>
            </w:r>
            <w:r>
              <w:rPr>
                <w:rFonts w:ascii="Calibri" w:cs="Calibri" w:eastAsia="Calibri" w:hAnsi="Calibri"/>
                <w:b/>
                <w:bCs/>
                <w:sz w:val="17"/>
                <w:szCs w:val="17"/>
              </w:rPr>
              <w:t xml:space="preserve">numbers</w:t>
            </w:r>
            <w:r>
              <w:rPr>
                <w:rFonts w:ascii="Calibri" w:cs="Calibri" w:eastAsia="Calibri" w:hAnsi="Calibri"/>
                <w:sz w:val="17"/>
                <w:szCs w:val="17"/>
              </w:rPr>
              <w:t xml:space="preserve"> match — salary, notice, term, percentages?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most common and most costly error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the </w:t>
            </w:r>
            <w:r>
              <w:rPr>
                <w:rFonts w:ascii="Calibri" w:cs="Calibri" w:eastAsia="Calibri" w:hAnsi="Calibri"/>
                <w:b/>
                <w:bCs/>
                <w:sz w:val="17"/>
                <w:szCs w:val="17"/>
              </w:rPr>
              <w:t xml:space="preserve">dates</w:t>
            </w:r>
            <w:r>
              <w:rPr>
                <w:rFonts w:ascii="Calibri" w:cs="Calibri" w:eastAsia="Calibri" w:hAnsi="Calibri"/>
                <w:sz w:val="17"/>
                <w:szCs w:val="17"/>
              </w:rPr>
              <w:t xml:space="preserve"> match, including the calendar used?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Gregorian and Hijri both appear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party names and licence numbers match exactly?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mismatched entity name is a real defect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defined terms translated </w:t>
            </w:r>
            <w:r>
              <w:rPr>
                <w:rFonts w:ascii="Calibri" w:cs="Calibri" w:eastAsia="Calibri" w:hAnsi="Calibri"/>
                <w:b/>
                <w:bCs/>
                <w:sz w:val="17"/>
                <w:szCs w:val="17"/>
              </w:rPr>
              <w:t xml:space="preserve">consistently</w:t>
            </w:r>
            <w:r>
              <w:rPr>
                <w:rFonts w:ascii="Calibri" w:cs="Calibri" w:eastAsia="Calibri" w:hAnsi="Calibri"/>
                <w:sz w:val="17"/>
                <w:szCs w:val="17"/>
              </w:rPr>
              <w:t xml:space="preserve"> throughout?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same term rendered two ways creates ambiguity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Arabic contain clauses the English does not?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Read the Arabic, or have it read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English contain clauses the Arabic omits?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Omissions are as dangerous as additions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signature block in both languages?</w:t>
            </w:r>
          </w:p>
        </w:tc>
        <w:tc>
          <w:tcPr>
            <w:tcW w:type="dxa" w:w="404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translator’s certification attached where required?</w:t>
            </w:r>
          </w:p>
        </w:tc>
        <w:tc>
          <w:tcPr>
            <w:tcW w:type="dxa" w:w="4047"/>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Never sign a bilingual document whose Arabic you have not had read by someone you trust.</w:t>
      </w:r>
      <w:r>
        <w:rPr>
          <w:rFonts w:ascii="Calibri" w:cs="Calibri" w:eastAsia="Calibri" w:hAnsi="Calibri"/>
          <w:sz w:val="21"/>
          <w:szCs w:val="21"/>
        </w:rPr>
        <w:t xml:space="preserve"> Signing an Arabic text you cannot read, which will prevail over the English you can, is the single most avoidable risk in UAE contracting.</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CORE TERMINOLOGY</w:t>
      </w:r>
    </w:p>
    <w:p>
      <w:pPr>
        <w:spacing w:after="120" w:before="0" w:line="276"/>
        <w:jc w:val="both"/>
      </w:pPr>
      <w:r>
        <w:rPr>
          <w:rFonts w:ascii="Calibri" w:cs="Calibri" w:eastAsia="Calibri" w:hAnsi="Calibri"/>
          <w:i/>
          <w:iCs/>
          <w:sz w:val="21"/>
          <w:szCs w:val="21"/>
        </w:rPr>
        <w:t xml:space="preserve">A working glossary to give a translator, and to check consistency against. Verify each against the official Arabic of the relevant statute before relying on it in a filed document.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4819"/>
      </w:tblGrid>
      <w:tr>
        <w:trPr>
          <w:cantSplit/>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English</w:t>
            </w:r>
          </w:p>
        </w:tc>
        <w:tc>
          <w:tcPr>
            <w:tcW w:type="dxa" w:w="4819"/>
            <w:shd w:fill="EEF1FE" w:color="auto" w:val="clear"/>
            <w:tcMar>
              <w:top w:type="dxa" w:w="70"/>
              <w:left w:type="dxa" w:w="100"/>
              <w:bottom w:type="dxa" w:w="70"/>
              <w:right w:type="dxa" w:w="100"/>
            </w:tcMar>
            <w:vAlign w:val="center"/>
          </w:tcPr>
          <w:p>
            <w:pPr>
              <w:bidi/>
              <w:spacing w:after="0" w:line="240"/>
              <w:jc w:val="right"/>
            </w:pPr>
            <w:r>
              <w:rPr>
                <w:rFonts w:ascii="Calibri" w:cs="Calibri" w:eastAsia="Calibri" w:hAnsi="Calibri"/>
                <w:b/>
                <w:bCs/>
                <w:sz w:val="18"/>
                <w:szCs w:val="18"/>
              </w:rPr>
              <w:t xml:space="preserve">العربية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contract</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عقد العمل</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صاحب العمل</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 worker</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العامل</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الراتب الأساسي</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salary</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الراتب الإجمالي</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End of service gratuity</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مكافأة نهاية الخدمة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Probation period</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فترة التجربة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period</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مهلة الإخطار</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leave</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الإجازة السنوية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Sick leave</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الإجازة المرضية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Termination</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إنهاء الخدمة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Resignation</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الاستقالة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تصريح العمل</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Residence visa</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تأشيرة الإقامة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Trade licence</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الرخصة التجارية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Memorandum of Association</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عقد التأسيس</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Shareholder / partner</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الشريك</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Manager</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المدير</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capital</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رأس المال</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Power of attorney</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وكالة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Confidential information</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المعلومات السرية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Governing law</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القانون الواجب التطبيق</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Force majeure</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القوة القاهرة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Value Added Tax</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ضريبة القيمة المضافة</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tax</w:t>
            </w:r>
          </w:p>
        </w:tc>
        <w:tc>
          <w:tcPr>
            <w:tcW w:type="dxa" w:w="4819"/>
            <w:tcMar>
              <w:top w:type="dxa" w:w="70"/>
              <w:left w:type="dxa" w:w="100"/>
              <w:bottom w:type="dxa" w:w="70"/>
              <w:right w:type="dxa" w:w="100"/>
            </w:tcMar>
            <w:vAlign w:val="center"/>
          </w:tcPr>
          <w:p>
            <w:pPr>
              <w:bidi/>
              <w:spacing w:after="0" w:line="240"/>
              <w:jc w:val="right"/>
            </w:pPr>
            <w:r>
              <w:rPr>
                <w:rFonts w:ascii="Calibri" w:cs="Calibri" w:eastAsia="Calibri" w:hAnsi="Calibri"/>
                <w:sz w:val="18"/>
                <w:szCs w:val="18"/>
              </w:rPr>
              <w:t xml:space="preserve">ضريبة الشركات</w:t>
            </w:r>
          </w:p>
        </w:tc>
      </w:tr>
    </w:tbl>
    <w:p>
      <w:pPr>
        <w:spacing w:after="160"/>
      </w:pPr>
    </w:p>
    <w:p>
      <w:pPr>
        <w:keepNext/>
        <w:spacing w:after="120" w:before="280"/>
        <w:outlineLvl w:val="0"/>
      </w:pPr>
      <w:r>
        <w:rPr>
          <w:rFonts w:ascii="Calibri" w:cs="Calibri" w:eastAsia="Calibri" w:hAnsi="Calibri"/>
          <w:b/>
          <w:bCs/>
          <w:color w:val="14161B"/>
          <w:sz w:val="22"/>
          <w:szCs w:val="22"/>
        </w:rPr>
        <w:t xml:space="preserve">5. THE PREVAILING LANGUAGE CLAUSE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Every bilingual document should state which version governs. Use one of the following.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758"/>
        <w:gridCol w:w="3760"/>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Position</w:t>
            </w:r>
          </w:p>
        </w:tc>
        <w:tc>
          <w:tcPr>
            <w:tcW w:type="dxa" w:w="37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English wording</w:t>
            </w:r>
          </w:p>
        </w:tc>
        <w:tc>
          <w:tcPr>
            <w:tcW w:type="dxa" w:w="3760"/>
            <w:shd w:fill="EEF1FE" w:color="auto" w:val="clear"/>
            <w:tcMar>
              <w:top w:type="dxa" w:w="70"/>
              <w:left w:type="dxa" w:w="100"/>
              <w:bottom w:type="dxa" w:w="70"/>
              <w:right w:type="dxa" w:w="100"/>
            </w:tcMar>
            <w:vAlign w:val="center"/>
          </w:tcPr>
          <w:p>
            <w:pPr>
              <w:bidi/>
              <w:spacing w:after="0" w:line="240"/>
              <w:jc w:val="right"/>
            </w:pPr>
            <w:r>
              <w:rPr>
                <w:rFonts w:ascii="Calibri" w:cs="Calibri" w:eastAsia="Calibri" w:hAnsi="Calibri"/>
                <w:b/>
                <w:bCs/>
                <w:sz w:val="16"/>
                <w:szCs w:val="16"/>
              </w:rPr>
              <w:t xml:space="preserve">العربية</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Arabic prevails</w:t>
            </w:r>
            <w:r>
              <w:rPr>
                <w:rFonts w:ascii="Calibri" w:cs="Calibri" w:eastAsia="Calibri" w:hAnsi="Calibri"/>
                <w:sz w:val="16"/>
                <w:szCs w:val="16"/>
              </w:rPr>
              <w:t xml:space="preserve"> — the realistic position onshore</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This document is executed in English and Arabic. In the event of any conflict or inconsistency, the Arabic version shall prevail.</w:t>
            </w:r>
          </w:p>
        </w:tc>
        <w:tc>
          <w:tcPr>
            <w:tcW w:type="dxa" w:w="3760"/>
            <w:tcMar>
              <w:top w:type="dxa" w:w="70"/>
              <w:left w:type="dxa" w:w="100"/>
              <w:bottom w:type="dxa" w:w="70"/>
              <w:right w:type="dxa" w:w="100"/>
            </w:tcMar>
            <w:vAlign w:val="center"/>
          </w:tcPr>
          <w:p>
            <w:pPr>
              <w:bidi/>
              <w:spacing w:after="0" w:line="240"/>
              <w:jc w:val="right"/>
            </w:pPr>
            <w:r>
              <w:rPr>
                <w:rFonts w:ascii="Calibri" w:cs="Calibri" w:eastAsia="Calibri" w:hAnsi="Calibri"/>
                <w:sz w:val="16"/>
                <w:szCs w:val="16"/>
              </w:rPr>
              <w:t xml:space="preserve">حُرر هذا المستند باللغتين الإنجليزية والعربية. وفي حال وجود أي تعارض أو اختلاف، يُعتد بالنص العربي.</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English prevails — only where the forum is DIFC, ADGM or arbitration in English</w:t>
            </w:r>
          </w:p>
        </w:tc>
        <w:tc>
          <w:tcPr>
            <w:tcW w:type="dxa" w:w="3758"/>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This document is executed in English and Arabic. In the event of any conflict, the English version shall prevail.</w:t>
            </w:r>
          </w:p>
        </w:tc>
        <w:tc>
          <w:tcPr>
            <w:tcW w:type="dxa" w:w="3760"/>
            <w:tcMar>
              <w:top w:type="dxa" w:w="70"/>
              <w:left w:type="dxa" w:w="100"/>
              <w:bottom w:type="dxa" w:w="70"/>
              <w:right w:type="dxa" w:w="100"/>
            </w:tcMar>
            <w:vAlign w:val="center"/>
          </w:tcPr>
          <w:p>
            <w:pPr>
              <w:bidi/>
              <w:spacing w:after="0" w:line="240"/>
              <w:jc w:val="right"/>
            </w:pPr>
            <w:r>
              <w:rPr>
                <w:rFonts w:ascii="Calibri" w:cs="Calibri" w:eastAsia="Calibri" w:hAnsi="Calibri"/>
                <w:sz w:val="16"/>
                <w:szCs w:val="16"/>
              </w:rPr>
              <w:t xml:space="preserve">حُرر هذا المستند باللغتين الإنجليزية والعربية. وفي حال وجود أي تعارض، يُعتد بالنص الإنجليزي.</w:t>
            </w:r>
          </w:p>
        </w:tc>
      </w:tr>
    </w:tbl>
    <w:p>
      <w:pPr>
        <w:spacing w:after="140"/>
      </w:pP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i/>
          <w:iCs/>
          <w:sz w:val="21"/>
          <w:szCs w:val="21"/>
        </w:rPr>
        <w:t xml:space="preserve">A clause stating that English prevails does not guarantee an onshore court will apply the English text. Where the forum is an onshore court, work on the basis that the Arabic governs, and make the Arabic right rather than relying on the clause.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Check whether an official bilingual version already exists</w:t>
      </w:r>
    </w:p>
    <w:p>
      <w:pPr>
        <w:spacing w:after="60" w:line="264"/>
        <w:jc w:val="both"/>
      </w:pPr>
      <w:r>
        <w:rPr>
          <w:rFonts w:ascii="Calibri" w:cs="Calibri" w:eastAsia="Calibri" w:hAnsi="Calibri"/>
          <w:sz w:val="19"/>
          <w:szCs w:val="19"/>
        </w:rPr>
        <w:t xml:space="preserve">The mainland employment contract is generated through MOHRE in Arabic and English and registered by the ministry. Work permits, visas and tenancy registrations are likewise produced bilingually by the authority. Nobody needs to translate these — the task is making sure your own supplementary documents do not contradict them.</w:t>
      </w:r>
    </w:p>
    <w:p>
      <w:pPr>
        <w:keepNext/>
        <w:spacing w:after="40" w:before="140"/>
      </w:pPr>
      <w:r>
        <w:rPr>
          <w:rFonts w:ascii="Calibri" w:cs="Calibri" w:eastAsia="Calibri" w:hAnsi="Calibri"/>
          <w:b/>
          <w:bCs/>
          <w:color w:val="14161B"/>
          <w:sz w:val="20"/>
          <w:szCs w:val="20"/>
        </w:rPr>
        <w:t xml:space="preserve">Ministry of Justice licensed translators are a requirement, not a preference</w:t>
      </w:r>
    </w:p>
    <w:p>
      <w:pPr>
        <w:spacing w:after="60" w:line="264"/>
        <w:jc w:val="both"/>
      </w:pPr>
      <w:r>
        <w:rPr>
          <w:rFonts w:ascii="Calibri" w:cs="Calibri" w:eastAsia="Calibri" w:hAnsi="Calibri"/>
          <w:sz w:val="19"/>
          <w:szCs w:val="19"/>
        </w:rPr>
        <w:t xml:space="preserve">For documents filed with a court or ministry, translation must be by a licensed legal translator with a stamp and certification. A general translation agency, however competent, produces a document that cannot be filed. Ask for the licence number before engaging.</w:t>
      </w:r>
    </w:p>
    <w:p>
      <w:pPr>
        <w:keepNext/>
        <w:spacing w:after="40" w:before="140"/>
      </w:pPr>
      <w:r>
        <w:rPr>
          <w:rFonts w:ascii="Calibri" w:cs="Calibri" w:eastAsia="Calibri" w:hAnsi="Calibri"/>
          <w:b/>
          <w:bCs/>
          <w:color w:val="14161B"/>
          <w:sz w:val="20"/>
          <w:szCs w:val="20"/>
        </w:rPr>
        <w:t xml:space="preserve">The Arabic prevails onshore whatever the clause says</w:t>
      </w:r>
    </w:p>
    <w:p>
      <w:pPr>
        <w:spacing w:after="60" w:line="264"/>
        <w:jc w:val="both"/>
      </w:pPr>
      <w:r>
        <w:rPr>
          <w:rFonts w:ascii="Calibri" w:cs="Calibri" w:eastAsia="Calibri" w:hAnsi="Calibri"/>
          <w:sz w:val="19"/>
          <w:szCs w:val="19"/>
        </w:rPr>
        <w:t xml:space="preserve">A prevailing-language clause naming English is common and is not a reliable protection in an onshore forum. Treat the Arabic as the operative text, and invest accordingly. Where you genuinely need English to govern, the answer is the forum — DIFC, ADGM or English-language arbitration — not the clause.</w:t>
      </w:r>
    </w:p>
    <w:p>
      <w:pPr>
        <w:keepNext/>
        <w:spacing w:after="40" w:before="140"/>
      </w:pPr>
      <w:r>
        <w:rPr>
          <w:rFonts w:ascii="Calibri" w:cs="Calibri" w:eastAsia="Calibri" w:hAnsi="Calibri"/>
          <w:b/>
          <w:bCs/>
          <w:color w:val="14161B"/>
          <w:sz w:val="20"/>
          <w:szCs w:val="20"/>
        </w:rPr>
        <w:t xml:space="preserve">Numbers are where bilingual documents actually fail</w:t>
      </w:r>
    </w:p>
    <w:p>
      <w:pPr>
        <w:spacing w:after="60" w:line="264"/>
        <w:jc w:val="both"/>
      </w:pPr>
      <w:r>
        <w:rPr>
          <w:rFonts w:ascii="Calibri" w:cs="Calibri" w:eastAsia="Calibri" w:hAnsi="Calibri"/>
          <w:sz w:val="19"/>
          <w:szCs w:val="19"/>
        </w:rPr>
        <w:t xml:space="preserve">Salary figures, notice periods, percentages, terms and dates are where errors do real damage, and they are easier to check than the prose. Verify every number character by character against the English before signing. This one check catches most serious defects.</w:t>
      </w:r>
    </w:p>
    <w:p>
      <w:pPr>
        <w:keepNext/>
        <w:spacing w:after="40" w:before="140"/>
      </w:pPr>
      <w:r>
        <w:rPr>
          <w:rFonts w:ascii="Calibri" w:cs="Calibri" w:eastAsia="Calibri" w:hAnsi="Calibri"/>
          <w:b/>
          <w:bCs/>
          <w:color w:val="14161B"/>
          <w:sz w:val="20"/>
          <w:szCs w:val="20"/>
        </w:rPr>
        <w:t xml:space="preserve">Watch for clauses present in one version and not the other</w:t>
      </w:r>
    </w:p>
    <w:p>
      <w:pPr>
        <w:spacing w:after="60" w:line="264"/>
        <w:jc w:val="both"/>
      </w:pPr>
      <w:r>
        <w:rPr>
          <w:rFonts w:ascii="Calibri" w:cs="Calibri" w:eastAsia="Calibri" w:hAnsi="Calibri"/>
          <w:sz w:val="19"/>
          <w:szCs w:val="19"/>
        </w:rPr>
        <w:t xml:space="preserve">Additions and omissions both happen, and both are dangerous. Read the Arabic, or have someone you trust read it, against the English clause by clause. A document where the Arabic contains an obligation the English does not is not a translation problem — it is a different contract.</w:t>
      </w:r>
    </w:p>
    <w:p>
      <w:pPr>
        <w:keepNext/>
        <w:spacing w:after="40" w:before="140"/>
      </w:pPr>
      <w:r>
        <w:rPr>
          <w:rFonts w:ascii="Calibri" w:cs="Calibri" w:eastAsia="Calibri" w:hAnsi="Calibri"/>
          <w:b/>
          <w:bCs/>
          <w:color w:val="14161B"/>
          <w:sz w:val="20"/>
          <w:szCs w:val="20"/>
        </w:rPr>
        <w:t xml:space="preserve">Give the translator a glossary</w:t>
      </w:r>
    </w:p>
    <w:p>
      <w:pPr>
        <w:spacing w:after="60" w:line="264"/>
        <w:jc w:val="both"/>
      </w:pPr>
      <w:r>
        <w:rPr>
          <w:rFonts w:ascii="Calibri" w:cs="Calibri" w:eastAsia="Calibri" w:hAnsi="Calibri"/>
          <w:sz w:val="19"/>
          <w:szCs w:val="19"/>
        </w:rPr>
        <w:t xml:space="preserve">Consistency matters more than elegance in legal translation. The same defined term rendered two different ways across a document creates genuine ambiguity. Section 4 is a starting point; add your own defined terms and insist they are used consistently.</w:t>
      </w:r>
    </w:p>
    <w:p>
      <w:pPr>
        <w:keepNext/>
        <w:spacing w:after="40" w:before="140"/>
      </w:pPr>
      <w:r>
        <w:rPr>
          <w:rFonts w:ascii="Calibri" w:cs="Calibri" w:eastAsia="Calibri" w:hAnsi="Calibri"/>
          <w:b/>
          <w:bCs/>
          <w:color w:val="14161B"/>
          <w:sz w:val="20"/>
          <w:szCs w:val="20"/>
        </w:rPr>
        <w:t xml:space="preserve">Send final text, not drafts</w:t>
      </w:r>
    </w:p>
    <w:p>
      <w:pPr>
        <w:spacing w:after="60" w:line="264"/>
        <w:jc w:val="both"/>
      </w:pPr>
      <w:r>
        <w:rPr>
          <w:rFonts w:ascii="Calibri" w:cs="Calibri" w:eastAsia="Calibri" w:hAnsi="Calibri"/>
          <w:sz w:val="19"/>
          <w:szCs w:val="19"/>
        </w:rPr>
        <w:t xml:space="preserve">Retranslating after amendments costs more than waiting, and creates version-control risk where an old Arabic text is attached to a new English one. Finalise the English, then translate.</w:t>
      </w:r>
    </w:p>
    <w:p>
      <w:pPr>
        <w:keepNext/>
        <w:spacing w:after="40" w:before="140"/>
      </w:pPr>
      <w:r>
        <w:rPr>
          <w:rFonts w:ascii="Calibri" w:cs="Calibri" w:eastAsia="Calibri" w:hAnsi="Calibri"/>
          <w:b/>
          <w:bCs/>
          <w:color w:val="14161B"/>
          <w:sz w:val="20"/>
          <w:szCs w:val="20"/>
        </w:rPr>
        <w:t xml:space="preserve">Have a second Arabic reader check it</w:t>
      </w:r>
    </w:p>
    <w:p>
      <w:pPr>
        <w:spacing w:after="60" w:line="264"/>
        <w:jc w:val="both"/>
      </w:pPr>
      <w:r>
        <w:rPr>
          <w:rFonts w:ascii="Calibri" w:cs="Calibri" w:eastAsia="Calibri" w:hAnsi="Calibri"/>
          <w:sz w:val="19"/>
          <w:szCs w:val="19"/>
        </w:rPr>
        <w:t xml:space="preserve">A reader who did not produce the translation catches what the translator did not. This does not need to be a lawyer for most documents — it needs to be someone competent and independent of the translation.</w:t>
      </w:r>
    </w:p>
    <w:p>
      <w:pPr>
        <w:keepNext/>
        <w:spacing w:after="40" w:before="140"/>
      </w:pPr>
      <w:r>
        <w:rPr>
          <w:rFonts w:ascii="Calibri" w:cs="Calibri" w:eastAsia="Calibri" w:hAnsi="Calibri"/>
          <w:b/>
          <w:bCs/>
          <w:color w:val="14161B"/>
          <w:sz w:val="20"/>
          <w:szCs w:val="20"/>
        </w:rPr>
        <w:t xml:space="preserve">Re-certify on amendment</w:t>
      </w:r>
    </w:p>
    <w:p>
      <w:pPr>
        <w:spacing w:after="60" w:line="264"/>
        <w:jc w:val="both"/>
      </w:pPr>
      <w:r>
        <w:rPr>
          <w:rFonts w:ascii="Calibri" w:cs="Calibri" w:eastAsia="Calibri" w:hAnsi="Calibri"/>
          <w:sz w:val="19"/>
          <w:szCs w:val="19"/>
        </w:rPr>
        <w:t xml:space="preserve">An amended English document with the original Arabic attached is worse than either alone, because the two now say different things and the Arabic governs. Any amendment to a bilingual document requires the Arabic to be updated and re-certified.</w:t>
      </w:r>
    </w:p>
    <w:p>
      <w:pPr>
        <w:keepNext/>
        <w:spacing w:after="40" w:before="140"/>
      </w:pPr>
      <w:r>
        <w:rPr>
          <w:rFonts w:ascii="Calibri" w:cs="Calibri" w:eastAsia="Calibri" w:hAnsi="Calibri"/>
          <w:b/>
          <w:bCs/>
          <w:color w:val="14161B"/>
          <w:sz w:val="20"/>
          <w:szCs w:val="20"/>
        </w:rPr>
        <w:t xml:space="preserve">Machine translation is for comprehension only</w:t>
      </w:r>
    </w:p>
    <w:p>
      <w:pPr>
        <w:spacing w:after="60" w:line="264"/>
        <w:jc w:val="both"/>
      </w:pPr>
      <w:r>
        <w:rPr>
          <w:rFonts w:ascii="Calibri" w:cs="Calibri" w:eastAsia="Calibri" w:hAnsi="Calibri"/>
          <w:sz w:val="19"/>
          <w:szCs w:val="19"/>
        </w:rPr>
        <w:t xml:space="preserve">Automated translation, including AI translation, is useful for understanding a document someone has sent you. It should never produce the version that governs, and it cannot be filed. This applies regardless of how fluent the output appears — fluency and legal accuracy are different things.</w:t>
      </w:r>
    </w:p>
    <w:p>
      <w:pPr>
        <w:keepNext/>
        <w:spacing w:after="40" w:before="140"/>
      </w:pPr>
      <w:r>
        <w:rPr>
          <w:rFonts w:ascii="Calibri" w:cs="Calibri" w:eastAsia="Calibri" w:hAnsi="Calibri"/>
          <w:b/>
          <w:bCs/>
          <w:color w:val="14161B"/>
          <w:sz w:val="20"/>
          <w:szCs w:val="20"/>
        </w:rPr>
        <w:t xml:space="preserve">DIFC and ADGM do not need this</w:t>
      </w:r>
    </w:p>
    <w:p>
      <w:pPr>
        <w:spacing w:after="60" w:line="264"/>
        <w:jc w:val="both"/>
      </w:pPr>
      <w:r>
        <w:rPr>
          <w:rFonts w:ascii="Calibri" w:cs="Calibri" w:eastAsia="Calibri" w:hAnsi="Calibri"/>
          <w:sz w:val="19"/>
          <w:szCs w:val="19"/>
        </w:rPr>
        <w:t xml:space="preserve">Both financial free zones operate in English under common law with English-language courts. Documents for entities in those jurisdictions need no Arabic version, and adding one introduces risk rather than reducing it.</w:t>
      </w:r>
    </w:p>
    <w:p>
      <w:pPr>
        <w:keepNext/>
        <w:spacing w:after="40" w:before="140"/>
      </w:pPr>
      <w:r>
        <w:rPr>
          <w:rFonts w:ascii="Calibri" w:cs="Calibri" w:eastAsia="Calibri" w:hAnsi="Calibri"/>
          <w:b/>
          <w:bCs/>
          <w:color w:val="14161B"/>
          <w:sz w:val="20"/>
          <w:szCs w:val="20"/>
        </w:rPr>
        <w:t xml:space="preserve">Budget realistically</w:t>
      </w:r>
    </w:p>
    <w:p>
      <w:pPr>
        <w:spacing w:after="60" w:line="264"/>
        <w:jc w:val="both"/>
      </w:pPr>
      <w:r>
        <w:rPr>
          <w:rFonts w:ascii="Calibri" w:cs="Calibri" w:eastAsia="Calibri" w:hAnsi="Calibri"/>
          <w:sz w:val="19"/>
          <w:szCs w:val="19"/>
        </w:rPr>
        <w:t xml:space="preserve">Certified legal translation is priced per page or per word and a substantial contract is not a trivial cost. Translate what genuinely needs translating — Section 1 sorts documents into categories precisely so the budget goes where it matters.</w:t>
      </w:r>
    </w:p>
    <w:p>
      <w:pPr>
        <w:keepNext/>
        <w:spacing w:after="40" w:before="140"/>
      </w:pPr>
      <w:r>
        <w:rPr>
          <w:rFonts w:ascii="Calibri" w:cs="Calibri" w:eastAsia="Calibri" w:hAnsi="Calibri"/>
          <w:b/>
          <w:bCs/>
          <w:color w:val="14161B"/>
          <w:sz w:val="20"/>
          <w:szCs w:val="20"/>
        </w:rPr>
        <w:t xml:space="preserve">Keep the certified original</w:t>
      </w:r>
    </w:p>
    <w:p>
      <w:pPr>
        <w:spacing w:after="60" w:line="264"/>
        <w:jc w:val="both"/>
      </w:pPr>
      <w:r>
        <w:rPr>
          <w:rFonts w:ascii="Calibri" w:cs="Calibri" w:eastAsia="Calibri" w:hAnsi="Calibri"/>
          <w:sz w:val="19"/>
          <w:szCs w:val="19"/>
        </w:rPr>
        <w:t xml:space="preserve">A scan is not a certified translation. The stamped original belongs in the corporate records file alongside the English, and both belong with the notarised documents where applicable.</w:t>
      </w:r>
    </w:p>
    <w:p>
      <w:pPr>
        <w:keepNext/>
        <w:spacing w:after="40" w:before="140"/>
      </w:pPr>
      <w:r>
        <w:rPr>
          <w:rFonts w:ascii="Calibri" w:cs="Calibri" w:eastAsia="Calibri" w:hAnsi="Calibri"/>
          <w:b/>
          <w:bCs/>
          <w:color w:val="14161B"/>
          <w:sz w:val="20"/>
          <w:szCs w:val="20"/>
        </w:rPr>
        <w:t xml:space="preserve">Never sign Arabic you have not had read</w:t>
      </w:r>
    </w:p>
    <w:p>
      <w:pPr>
        <w:spacing w:after="60" w:line="264"/>
        <w:jc w:val="both"/>
      </w:pPr>
      <w:r>
        <w:rPr>
          <w:rFonts w:ascii="Calibri" w:cs="Calibri" w:eastAsia="Calibri" w:hAnsi="Calibri"/>
          <w:sz w:val="19"/>
          <w:szCs w:val="19"/>
        </w:rPr>
        <w:t xml:space="preserve">Signing a text you cannot read, which will prevail over the version you can read, is the most avoidable risk in UAE contracting. If there is no time to have the Arabic checked, there is no time to sign.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for certified translation, licensed translators, notarisation and court filing change and differ by emirate and forum — confirm the current position with the relevant court, ministry or a UAE lawyer, and verify the Arabic terminology in Section 4 against the official Arabic text of the relevant statute before relying on it in a filed document.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2026-08-23T16:28:34.194Z</dcterms:created>
  <dcterms:modified xsi:type="dcterms:W3CDTF">2026-08-23T16:28:34.194Z</dcterms:modified>
</cp:coreProperties>
</file>

<file path=docProps/custom.xml><?xml version="1.0" encoding="utf-8"?>
<Properties xmlns="http://schemas.openxmlformats.org/officeDocument/2006/custom-properties" xmlns:vt="http://schemas.openxmlformats.org/officeDocument/2006/docPropsVTypes"/>
</file>