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40"/>
        <w:jc w:val="center"/>
      </w:pPr>
      <w:r>
        <w:rPr>
          <w:rFonts w:ascii="Calibri" w:cs="Calibri" w:eastAsia="Calibri" w:hAnsi="Calibri"/>
          <w:b/>
          <w:bCs/>
          <w:color w:val="14161B"/>
          <w:spacing w:val="12"/>
          <w:sz w:val="28"/>
          <w:szCs w:val="28"/>
        </w:rPr>
        <w:t xml:space="preserve">BANKING AND TREASURY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6E7480"/>
          <w:sz w:val="19"/>
          <w:szCs w:val="19"/>
        </w:rPr>
        <w:t xml:space="preserve">Account opening, mandates and controls</w:t>
      </w:r>
    </w:p>
    <w:p>
      <w:pPr>
        <w:spacing w:after="180" w:before="0" w:line="276"/>
        <w:jc w:val="both"/>
      </w:pP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Corporate account opening is the slowest step in setting up a UAE business and it sits on the critical path —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no account means no WPS, which means no lawful payroll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. Expect substantial due diligence on the ownership chain and the source of funds, and start it the day the licence issues.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662"/>
        <w:gridCol w:w="5976"/>
      </w:tblGrid>
      <w:tr>
        <w:trPr>
          <w:cantSplit/>
          <w:tblHeader/>
        </w:trPr>
        <w:tc>
          <w:tcPr>
            <w:tcW w:type="dxa" w:w="366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Item</w:t>
            </w:r>
          </w:p>
        </w:tc>
        <w:tc>
          <w:tcPr>
            <w:tcW w:type="dxa" w:w="59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Detail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Company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[COMPANY 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licence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Jurisdiction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[Mainland / free zone / DIFC / ADGM]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Bank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Account opened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  IBAN: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WPS enabled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[Y/N]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required before the first payroll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Signatories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[NAMES AND AUTHORITY]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Dual signature above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AED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[AMOUNT]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Cheque books issued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controlled by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[ROLE]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Post-dated cheques issued and outstanding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total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AED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[AMOUNT]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Facilities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[None / overdraft / trade finance]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Mandate last reviewed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</w:p>
        </w:tc>
      </w:tr>
    </w:tbl>
    <w:p>
      <w:pPr>
        <w:spacing w:after="180"/>
      </w:pP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1. OPENING THE ACCOUNT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3855"/>
        <w:gridCol w:w="3855"/>
        <w:gridCol w:w="1543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385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What the bank will want</w:t>
            </w:r>
          </w:p>
        </w:tc>
        <w:tc>
          <w:tcPr>
            <w:tcW w:type="dxa" w:w="385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Note</w:t>
            </w:r>
          </w:p>
        </w:tc>
        <w:tc>
          <w:tcPr>
            <w:tcW w:type="dxa" w:w="154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Ready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Trade licence and constitutional documents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Attested where foreign</w:t>
            </w: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Certificate of incorporation or registration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Full ownership chain to natural persons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Look through every layer</w:t>
            </w:r>
            <w:r>
              <w:rPr>
                <w:rFonts w:ascii="Calibri" w:cs="Calibri" w:eastAsia="Calibri" w:hAnsi="Calibri"/>
                <w:sz w:val="17"/>
                <w:szCs w:val="17"/>
              </w:rPr>
              <w:t xml:space="preserve"> — the UBO analysis</w:t>
            </w: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4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Passports and Emirates IDs of owners and signatories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Board or shareholder resolution opening the account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Notarised where required</w:t>
            </w: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6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Proof of address and tenancy with registration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7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Business plan and expected activity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Turnover, counterparties, countries</w:t>
            </w: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8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Source of funds and source of wealth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The question that causes the most delay</w:t>
            </w: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9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Contracts, invoices or LOIs evidencing the business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Banks want to see real activity</w:t>
            </w: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10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Establishment card and employee details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For WPS enablement</w:t>
            </w: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11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Group structure chart where part of a group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12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Foreign parent documents attested and legalised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For a branch — weeks</w:t>
            </w:r>
          </w:p>
        </w:tc>
        <w:tc>
          <w:tcPr>
            <w:tcW w:type="dxa" w:w="154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[Y/N]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Item 8 delays more applications than anything else. "Source of funds" means where this money came from; "source of wealth" means how the owners became wealthy. Prepare a clear, evidenced narrative in advance rather than assembling it under pressure.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Start the application the day the licence issues.</w:t>
      </w:r>
      <w:r>
        <w:rPr>
          <w:rFonts w:ascii="Calibri" w:cs="Calibri" w:eastAsia="Calibri" w:hAnsi="Calibri"/>
          <w:sz w:val="21"/>
          <w:szCs w:val="21"/>
        </w:rPr>
        <w:t xml:space="preserve"> Payroll cannot run without WPS, WPS needs the account, the account needs Emirates IDs, and those take weeks.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2. WHY APPLICATIONS ARE REFUSED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469"/>
        <w:gridCol w:w="6169"/>
      </w:tblGrid>
      <w:tr>
        <w:trPr>
          <w:cantSplit/>
          <w:tblHeader/>
        </w:trPr>
        <w:tc>
          <w:tcPr>
            <w:tcW w:type="dxa" w:w="346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Reason</w:t>
            </w:r>
          </w:p>
        </w:tc>
        <w:tc>
          <w:tcPr>
            <w:tcW w:type="dxa" w:w="616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What to do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Activity outside the bank’s risk appetite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Approach a bank that serves the sector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Complex or opaque ownership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Simplify, or document the chain thoroughly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Owners or counterparties in high-risk jurisdictions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Expect enhanced diligence; prepare evidence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No demonstrable activity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Provide contracts, invoices, a credible plan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Flexi-desk with no substance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Real premises and staff materially improve the position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Licence activity does not match the stated business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Fix the licence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— this is a real inconsistency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Incomplete or inconsistent documents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Reconcile everything before submitting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Adverse screening result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Address it directly with evidence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Apply to more than one bank in parallel. Refusal is common, it is rarely explained in detail, and a single sequential application can cost months.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3. THE MANDATE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3.1	</w:t>
      </w:r>
      <w:r>
        <w:rPr>
          <w:rFonts w:ascii="Calibri" w:cs="Calibri" w:eastAsia="Calibri" w:hAnsi="Calibri"/>
          <w:sz w:val="21"/>
          <w:szCs w:val="21"/>
        </w:rPr>
        <w:t xml:space="preserve">The mandate records who may operate the account and to what limit. It is set by resolution and should mirror the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delegated authority matrix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276"/>
        <w:gridCol w:w="3855"/>
        <w:gridCol w:w="2507"/>
      </w:tblGrid>
      <w:tr>
        <w:trPr>
          <w:cantSplit/>
          <w:tblHeader/>
        </w:trPr>
        <w:tc>
          <w:tcPr>
            <w:tcW w:type="dxa" w:w="32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Transaction</w:t>
            </w:r>
          </w:p>
        </w:tc>
        <w:tc>
          <w:tcPr>
            <w:tcW w:type="dxa" w:w="385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Authority</w:t>
            </w:r>
          </w:p>
        </w:tc>
        <w:tc>
          <w:tcPr>
            <w:tcW w:type="dxa" w:w="250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Limit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Routine payments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[Single signatory]</w:t>
            </w:r>
          </w:p>
        </w:tc>
        <w:tc>
          <w:tcPr>
            <w:tcW w:type="dxa" w:w="250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Up to AED </w:t>
            </w: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[AMOUNT]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Payments above the threshold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[Two signatories]</w:t>
            </w:r>
          </w:p>
        </w:tc>
        <w:tc>
          <w:tcPr>
            <w:tcW w:type="dxa" w:w="250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Above AED </w:t>
            </w: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[AMOUNT]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Payroll and WPS file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[ROLE]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, reviewed by </w:t>
            </w: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[ROLE]</w:t>
            </w:r>
          </w:p>
        </w:tc>
        <w:tc>
          <w:tcPr>
            <w:tcW w:type="dxa" w:w="250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New beneficiary set-up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[Two people — one to add, one to approve]</w:t>
            </w:r>
          </w:p>
        </w:tc>
        <w:tc>
          <w:tcPr>
            <w:tcW w:type="dxa" w:w="250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Any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Cheque issuance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[Two signatories]</w:t>
            </w:r>
          </w:p>
        </w:tc>
        <w:tc>
          <w:tcPr>
            <w:tcW w:type="dxa" w:w="250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Above AED </w:t>
            </w: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[AMOUNT]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Foreign currency transfers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[Two signatories]</w:t>
            </w:r>
          </w:p>
        </w:tc>
        <w:tc>
          <w:tcPr>
            <w:tcW w:type="dxa" w:w="250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Any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Facility drawdown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[Per the facility]</w:t>
            </w:r>
          </w:p>
        </w:tc>
        <w:tc>
          <w:tcPr>
            <w:tcW w:type="dxa" w:w="250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Any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Mandate changes</w:t>
            </w:r>
          </w:p>
        </w:tc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[Shareholders]</w:t>
            </w:r>
          </w:p>
        </w:tc>
        <w:tc>
          <w:tcPr>
            <w:tcW w:type="dxa" w:w="250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—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Update the mandate whenever a signatory leaves.</w:t>
      </w:r>
      <w:r>
        <w:rPr>
          <w:rFonts w:ascii="Calibri" w:cs="Calibri" w:eastAsia="Calibri" w:hAnsi="Calibri"/>
          <w:sz w:val="21"/>
          <w:szCs w:val="21"/>
        </w:rPr>
        <w:t xml:space="preserve"> A departed employee still on a mandate is among the most common live control failures found in due diligence, and resigning an office removes nobody automatically.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3.3	</w:t>
      </w:r>
      <w:r>
        <w:rPr>
          <w:rFonts w:ascii="Calibri" w:cs="Calibri" w:eastAsia="Calibri" w:hAnsi="Calibri"/>
          <w:sz w:val="21"/>
          <w:szCs w:val="21"/>
        </w:rPr>
        <w:t xml:space="preserve">Beneficiary set-up split between two people is the single most effective control against payment fraud.</w:t>
      </w:r>
    </w:p>
    <w:p>
      <w:pPr>
        <w:spacing w:after="0" w:before="0" w:line="1"/>
      </w:pPr>
      <w:r>
        <w:br w:type="page"/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4. CHEQUES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4.1	</w:t>
      </w:r>
      <w:r>
        <w:rPr>
          <w:rFonts w:ascii="Calibri" w:cs="Calibri" w:eastAsia="Calibri" w:hAnsi="Calibri"/>
          <w:sz w:val="21"/>
          <w:szCs w:val="21"/>
        </w:rPr>
        <w:t xml:space="preserve">Cheque books are held securely by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[ROLE]</w:t>
      </w:r>
      <w:r>
        <w:rPr>
          <w:rFonts w:ascii="Calibri" w:cs="Calibri" w:eastAsia="Calibri" w:hAnsi="Calibri"/>
          <w:sz w:val="21"/>
          <w:szCs w:val="21"/>
        </w:rPr>
        <w:t xml:space="preserve"> and issued against a log recording number, amount, payee, purpose and date.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Post-dated and security cheques are tracked separately</w:t>
      </w:r>
      <w:r>
        <w:rPr>
          <w:rFonts w:ascii="Calibri" w:cs="Calibri" w:eastAsia="Calibri" w:hAnsi="Calibri"/>
          <w:sz w:val="21"/>
          <w:szCs w:val="21"/>
        </w:rPr>
        <w:t xml:space="preserve">, with the date they may be presented and the condition for their return.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4.3	</w:t>
      </w:r>
      <w:r>
        <w:rPr>
          <w:rFonts w:ascii="Calibri" w:cs="Calibri" w:eastAsia="Calibri" w:hAnsi="Calibri"/>
          <w:sz w:val="21"/>
          <w:szCs w:val="21"/>
        </w:rPr>
        <w:t xml:space="preserve">On settlement of the underlying obligation, cheques are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recovered and written confirmation obtained</w:t>
      </w:r>
      <w:r>
        <w:rPr>
          <w:rFonts w:ascii="Calibri" w:cs="Calibri" w:eastAsia="Calibri" w:hAnsi="Calibri"/>
          <w:sz w:val="21"/>
          <w:szCs w:val="21"/>
        </w:rPr>
        <w:t xml:space="preserve"> that none remain outstanding.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4.4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Never issue a cheque without confidence that funds will be available on presentation.</w:t>
      </w:r>
      <w:r>
        <w:rPr>
          <w:rFonts w:ascii="Calibri" w:cs="Calibri" w:eastAsia="Calibri" w:hAnsi="Calibri"/>
          <w:sz w:val="21"/>
          <w:szCs w:val="21"/>
        </w:rPr>
        <w:t xml:space="preserve"> The treatment of dishonoured cheques was substantially reformed in 2022, with much enforcement now running through civil routes and the cheque capable of being treated as an instrument of execution. 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Confirm the current position rather than relying on older assumptions or a sense that it no longer matters.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4.5	</w:t>
      </w:r>
      <w:r>
        <w:rPr>
          <w:rFonts w:ascii="Calibri" w:cs="Calibri" w:eastAsia="Calibri" w:hAnsi="Calibri"/>
          <w:sz w:val="21"/>
          <w:szCs w:val="21"/>
        </w:rPr>
        <w:t xml:space="preserve">Cheque signing authority is not a routine administrative act — consider the position of the individual signing on the company’s behalf.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1252"/>
        <w:gridCol w:w="1349"/>
        <w:gridCol w:w="1638"/>
        <w:gridCol w:w="2120"/>
        <w:gridCol w:w="1542"/>
        <w:gridCol w:w="1352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125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Cheque</w:t>
            </w:r>
          </w:p>
        </w:tc>
        <w:tc>
          <w:tcPr>
            <w:tcW w:type="dxa" w:w="134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Amount</w:t>
            </w:r>
          </w:p>
        </w:tc>
        <w:tc>
          <w:tcPr>
            <w:tcW w:type="dxa" w:w="1638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dxa" w:w="212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Secures</w:t>
            </w:r>
          </w:p>
        </w:tc>
        <w:tc>
          <w:tcPr>
            <w:tcW w:type="dxa" w:w="154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Presentable from</w:t>
            </w:r>
          </w:p>
        </w:tc>
        <w:tc>
          <w:tcPr>
            <w:tcW w:type="dxa" w:w="135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Returned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125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[AMOUNT]</w:t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[Rent / supply / guarantee]</w:t>
            </w:r>
          </w:p>
        </w:tc>
        <w:tc>
          <w:tcPr>
            <w:tcW w:type="dxa" w:w="154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35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125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[AMOUNT]</w:t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[DETAIL]</w:t>
            </w:r>
          </w:p>
        </w:tc>
        <w:tc>
          <w:tcPr>
            <w:tcW w:type="dxa" w:w="154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35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125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[NUMBER]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[AMOUNT]</w:t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21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[DETAIL]</w:t>
            </w:r>
          </w:p>
        </w:tc>
        <w:tc>
          <w:tcPr>
            <w:tcW w:type="dxa" w:w="154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35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</w:tbl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5. ONGOING OBLIGATIONS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276"/>
        <w:gridCol w:w="6362"/>
      </w:tblGrid>
      <w:tr>
        <w:trPr>
          <w:cantSplit/>
          <w:tblHeader/>
        </w:trPr>
        <w:tc>
          <w:tcPr>
            <w:tcW w:type="dxa" w:w="32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Trigger</w:t>
            </w:r>
          </w:p>
        </w:tc>
        <w:tc>
          <w:tcPr>
            <w:tcW w:type="dxa" w:w="636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Tell the bank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Trade licence renewed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Promptly — an expired licence on file causes account restrictions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Ownership change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With the updated UBO position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Manager or signatory change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With the resolution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Change of registered address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New activity added to the licence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Group restructuring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Periodic KYC refresh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Respond promptly — non-response causes freezes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Account freezes are usually caused by something mundane — an expired licence copy, an unanswered KYC request, an unexplained transaction pattern. Responding promptly is far easier than restoring an account after it is restricted.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6. CONTROLS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481"/>
        <w:gridCol w:w="6264"/>
        <w:gridCol w:w="2893"/>
      </w:tblGrid>
      <w:tr>
        <w:trPr>
          <w:cantSplit/>
          <w:tblHeader/>
        </w:trPr>
        <w:tc>
          <w:tcPr>
            <w:tcW w:type="dxa" w:w="48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6264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Control</w:t>
            </w:r>
          </w:p>
        </w:tc>
        <w:tc>
          <w:tcPr>
            <w:tcW w:type="dxa" w:w="289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Frequency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Bank reconciliation performed by someone who cannot make payments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Mandate reconciled to current personnel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Quarterly and on any departure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New beneficiaries verified by a second person, by call-back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Every time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Payment run reviewed against supporting documents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Every run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WPS file reconciled to the establishment file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Cheque log reconciled to the book and to statements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7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Outstanding post-dated cheques reviewed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8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Unusual transactions investigated and documented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Ongoing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9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Access to online banking reviewed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Quarterly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Licence copy with the bank confirmed current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At renewal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6.1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Payment fraud in the UAE most often arrives as a changed bank account on a genuine supplier invoice.</w:t>
      </w:r>
      <w:r>
        <w:rPr>
          <w:rFonts w:ascii="Calibri" w:cs="Calibri" w:eastAsia="Calibri" w:hAnsi="Calibri"/>
          <w:sz w:val="21"/>
          <w:szCs w:val="21"/>
        </w:rPr>
        <w:t xml:space="preserve"> Verify every change of beneficiary details by calling a number you already hold — never one printed on the invoice.</w:t>
      </w:r>
    </w:p>
    <w:p>
      <w:pPr>
        <w:keepNext/>
        <w:pageBreakBefore/>
        <w:spacing w:after="60" w:before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NOTES FOR USE</w:t>
      </w:r>
    </w:p>
    <w:p>
      <w:pPr>
        <w:pBdr>
          <w:bottom w:val="single" w:color="C9CCD3" w:sz="6" w:space="4"/>
        </w:pBdr>
        <w:spacing w:after="200"/>
      </w:pPr>
      <w:r>
        <w:rPr>
          <w:rFonts w:ascii="Calibri" w:cs="Calibri" w:eastAsia="Calibri" w:hAnsi="Calibri"/>
          <w:i/>
          <w:iCs/>
          <w:color w:val="6E7480"/>
          <w:sz w:val="17"/>
          <w:szCs w:val="17"/>
        </w:rPr>
        <w:t xml:space="preserve">Delete this page before execution. It is guidance, not part of the agreement.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Start the account application on day one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Corporate account opening is the slowest step in setting up, and it sits on the critical path: no account means no WPS, which means no lawful payroll. Begin the day the licence issues, not when the first employee arrives.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Prepare the source of wealth narrative in advance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Source of funds asks where this money came from; source of wealth asks how the owners became wealthy. This causes more delay than anything else. Prepare a clear evidenced account before applying rather than assembling it under pressure.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Apply to more than one bank in parallel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Refusal is common and rarely explained in detail. Sequential applications can cost months. Approach several, and choose a bank that actually serves your sector rather than the one nearest the office.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Substance improves the outcome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flexi-desk with no staff and no demonstrable activity is a difficult application. Real premises, employees and evidence of trading materially improve the position — the same substance that supports a QFZP claim and tax residence.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Fix licence inconsistencies before applying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Where the licensed activity does not match the business described, the bank will notice and treat it as a genuine inconsistency rather than a technicality. Correct the licence first.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Split beneficiary set-up between two people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One person adds a new payee, a different person approves it, with verification by call-back to a number already held. This is the single most effective control against payment fraud and it costs nothing.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Verify changed bank details by a number you already hold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Payment fraud in this market most often arrives as an email changing the account details on a genuine supplier invoice. Never call the number printed on the invoice — it belongs to whoever sent it.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Update the mandate on every departure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departed employee still on a bank mandate is among the most common live control failures found in due diligence. Resigning an office, leaving the country and having a visa cancelled remove nobody automatically.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Log every cheque, and track security cheques separately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Record number, amount, payee, purpose and the date each may be presented. Post-dated and security cheques are a live liability until returned, and they are routinely forgotten once the underlying obligation is settled.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Recover cheques on settlement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When a lease ends, a facility is repaid or a supply relationship closes, retrieve every outstanding cheque and get written confirmation that none remain. An unpresented cheque hitting a closed account is a serious problem.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Never issue a cheque you are not confident will clear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treatment of dishonoured cheques changed materially in 2022, with much enforcement running through civil routes and a cheque capable of being treated as an instrument of execution. Confirm the current position rather than relying on either the old criminal assumption or a vague sense that it no longer matters.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Send the renewed licence to the bank promptly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An expired licence copy on file causes account restrictions at an inconvenient moment. It is a two-minute task that prevents a payment freeze.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Respond to KYC refresh requests quickly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Most account freezes are caused by something mundane — an unanswered periodic review, an unexplained transaction pattern. Responding promptly is far easier than restoring a restricted account.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Reconcile with segregation of duties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person who reconciles the bank account should not be able to make payments. In a small company where that is difficult, have a director or the accountant review the reconciliation — the review is the control.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Current as of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Reflects UAE law and banking practice current as of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[DATE OF USE]</w:t>
      </w:r>
      <w:r>
        <w:rPr>
          <w:rFonts w:ascii="Calibri" w:cs="Calibri" w:eastAsia="Calibri" w:hAnsi="Calibri"/>
          <w:sz w:val="19"/>
          <w:szCs w:val="19"/>
        </w:rPr>
        <w:t xml:space="preserve">. Account opening requirements, KYC and beneficial ownership standards, WPS arrangements and the enforcement of dishonoured cheques all change and differ between banks — confirm requirements with the specific bank, and take advice before relying on cheques as security.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134" w:bottom="108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CD3" w:sz="6" w:space="6"/>
      </w:pBdr>
      <w:spacing w:after="200"/>
      <w:jc w:val="center"/>
    </w:pPr>
    <w:r>
      <w:rPr>
        <w:rFonts w:ascii="Calibri" w:cs="Calibri" w:eastAsia="Calibri" w:hAnsi="Calibri"/>
        <w:i/>
        <w:iCs/>
        <w:color w:val="6E7480"/>
        <w:sz w:val="17"/>
        <w:szCs w:val="17"/>
      </w:rPr>
      <w:t xml:space="preserve">[HEADER — replace with your organisation's letterhead, if used]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Helion ERP</dc:creator>
  <dc:description>Template generated from www.helionerp.com</dc:description>
  <cp:lastModifiedBy>Un-named</cp:lastModifiedBy>
  <cp:revision>1</cp:revision>
  <dcterms:created xsi:type="dcterms:W3CDTF">2026-08-23T16:28:32.405Z</dcterms:created>
  <dcterms:modified xsi:type="dcterms:W3CDTF">2026-08-23T16:28:32.405Z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