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ANNUAL COMPLIANCE CALENDAR</w:t>
      </w:r>
    </w:p>
    <w:p>
      <w:pPr>
        <w:spacing w:after="260"/>
        <w:jc w:val="center"/>
      </w:pPr>
      <w:r>
        <w:rPr>
          <w:rFonts w:ascii="Calibri" w:cs="Calibri" w:eastAsia="Calibri" w:hAnsi="Calibri"/>
          <w:i/>
          <w:iCs/>
          <w:color w:val="6E7480"/>
          <w:sz w:val="19"/>
          <w:szCs w:val="19"/>
        </w:rPr>
        <w:t xml:space="preserve">Every recurring UAE obligation in one place</w:t>
      </w:r>
    </w:p>
    <w:p>
      <w:pPr>
        <w:spacing w:after="180" w:before="0" w:line="276"/>
        <w:jc w:val="both"/>
      </w:pPr>
      <w:r>
        <w:rPr>
          <w:rFonts w:ascii="Calibri" w:cs="Calibri" w:eastAsia="Calibri" w:hAnsi="Calibri"/>
          <w:i/>
          <w:iCs/>
          <w:color w:val="6E7480"/>
          <w:sz w:val="21"/>
          <w:szCs w:val="21"/>
        </w:rPr>
        <w:t xml:space="preserve">UAE compliance fails through </w:t>
      </w:r>
      <w:r>
        <w:rPr>
          <w:rFonts w:ascii="Calibri" w:cs="Calibri" w:eastAsia="Calibri" w:hAnsi="Calibri"/>
          <w:b/>
          <w:bCs/>
          <w:i/>
          <w:iCs/>
          <w:color w:val="6E7480"/>
          <w:sz w:val="21"/>
          <w:szCs w:val="21"/>
        </w:rPr>
        <w:t xml:space="preserve">cascade</w:t>
      </w:r>
      <w:r>
        <w:rPr>
          <w:rFonts w:ascii="Calibri" w:cs="Calibri" w:eastAsia="Calibri" w:hAnsi="Calibri"/>
          <w:i/>
          <w:iCs/>
          <w:color w:val="6E7480"/>
          <w:sz w:val="21"/>
          <w:szCs w:val="21"/>
        </w:rPr>
        <w:t xml:space="preserve">, not through any single missed deadline. A lapsed tenancy blocks the licence renewal, which blocks the establishment card, which blocks visa renewals, which stops you hiring. Most of these obligations are individually simple. The value is seeing them together.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Jurisdiction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name it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Financial year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Trade licence expiry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Establishment card expiry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Tenancy and registration expiry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of whom Emiratis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Corporate tax registration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VAT registration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[TRN / Not registered]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 of this calendar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reviewed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CASCADE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If this lapses…</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You lose…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Tenancy or its registration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Trade licence renewal — the registration is a condition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Trade licence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Establishment card, bank operations, ability to contract, visa processing</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Establishment card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 work permit and visa transactions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Visa quota or premises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Ability to hire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WPS compliance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Work permits — banned from the first offence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Emiratisation quota</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 penalties per position; potential permit suspension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Health insurance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Visa issuance and renewal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Corporate tax or VAT filing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Penalties; FTA scrutiny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UBO register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Licence services; banking review</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This is why the calendar is one document rather than several. The finance team tracking tax deadlines and the HR team tracking visas are both looking at half of a single system.</w:t>
      </w:r>
    </w:p>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240" w:before="240"/>
        <w:jc w:val="center"/>
      </w:pPr>
      <w:r>
        <w:rPr>
          <w:rFonts w:ascii="Calibri" w:cs="Calibri" w:eastAsia="Calibri" w:hAnsi="Calibri"/>
          <w:b/>
          <w:bCs/>
          <w:color w:val="14161B"/>
          <w:spacing w:val="12"/>
          <w:sz w:val="28"/>
          <w:szCs w:val="28"/>
        </w:rPr>
        <w:t xml:space="preserve">2. THE CALENDAR</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3609"/>
        <w:gridCol w:w="1654"/>
        <w:gridCol w:w="2706"/>
        <w:gridCol w:w="1353"/>
        <w:gridCol w:w="2406"/>
        <w:gridCol w:w="1654"/>
        <w:gridCol w:w="1656"/>
      </w:tblGrid>
      <w:tr>
        <w:trPr>
          <w:cantSplit/>
          <w:tblHeader/>
        </w:trPr>
        <w:tc>
          <w:tcPr>
            <w:tcW w:type="dxa" w:w="36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Obligation</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Frequency</w:t>
            </w:r>
          </w:p>
        </w:tc>
        <w:tc>
          <w:tcPr>
            <w:tcW w:type="dxa" w:w="27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Trigger / due</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Owner</w:t>
            </w:r>
          </w:p>
        </w:tc>
        <w:tc>
          <w:tcPr>
            <w:tcW w:type="dxa" w:w="24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Applies to</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Last done</w:t>
            </w:r>
          </w:p>
        </w:tc>
        <w:tc>
          <w:tcPr>
            <w:tcW w:type="dxa" w:w="16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Next due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Trade licence renewal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Licence expiry</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[Admin]</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Tenancy renewal and re-registration</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Before licence renewal</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[Admin]</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Mainland, most zones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Establishment / immigration card renewal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 validity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Card expiry</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 employers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Chamber of Commerce membership</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With licence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[Admin]</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Mainland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Corporate tax return and payment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Within the period after the tax period ends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QFZP conditions re-tested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Each period</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Continuous; review monthly</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Free zone claiming 0%</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De minimis headroom monitored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Monthly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Revenue analysis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Free zone claiming 0%</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Small Business Relief election considered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With the return</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Revenue under threshold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Transfer pricing documentation</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Where thresholds met</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Related-party dealings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Audited financial statements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After year end</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QFZP and where the zone requires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VAT returns and payment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[Quarterly]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 the FTA period</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VAT registered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VAT registration threshold monitored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Monthly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Rolling 12 months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Not yet registered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VAT credit balances reviewed and claimed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Quarterly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Before the window closes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VAT registered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E-invoicing readiness / compliance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 phase</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Confirm the applicable phase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 — phased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WPS salary file submitted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Monthly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Within the required period</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Mainland and most zones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WPS reconciled to the establishment file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Monthly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With payroll</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Same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Emiratisation rate calculated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Monthly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Skilled headcount basis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Mainland, 20+ employees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Emiratisation target assessed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 assessment date</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MOHRE schedule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Same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GPSSA contributions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Monthly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With payroll</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Emirati employees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DEWS or qualifying scheme contributions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Monthly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With payroll</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DIFC / ADGM</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DEWS contribution rate reviewed at 5 years’ service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 employee</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Service anniversary</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[Payroll]</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DIFC / ADGM</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Work permit and visa renewals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 employee</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Start 6 months out</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 foreign employees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Health insurance renewal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Policy expiry</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[HR]</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 employees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UBO register reviewed and filed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On change + 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Any ownership change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[CoSec]</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AML risk assessment and screening review</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 the framework</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[Compliance]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DNFBPs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goAML registration current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 requirement</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[Compliance]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DNFBPs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Data protection policy and records reviewed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Or on change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[DPO]</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DIFC annual data protection notification</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 the Commissioner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[DPO]</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DIFC only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Cross-border transfer register reviewed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Or on new vendor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[DPO]</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Insurance review — PI, public liability, D&amp;O, work injury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Policy expiry</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Sector licences and permits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 validity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Expiry</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[Admin]</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Regulated activities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Corporate records and registers reconciled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Annually</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Before renewal</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[CoSec]</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rPr>
          <w:cantSplit/>
        </w:trPr>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Records retention — 7 years for tax</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Continuous</w:t>
            </w:r>
          </w:p>
        </w:tc>
        <w:tc>
          <w:tcPr>
            <w:tcW w:type="dxa" w:w="27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From period end</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[Finance]</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c>
          <w:tcPr>
            <w:tcW w:type="dxa" w:w="165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3. MONTHLY CONTROLS</w:t>
      </w:r>
    </w:p>
    <w:p>
      <w:pPr>
        <w:spacing w:after="120" w:before="0" w:line="276"/>
        <w:jc w:val="both"/>
      </w:pPr>
      <w:r>
        <w:rPr>
          <w:rFonts w:ascii="Calibri" w:cs="Calibri" w:eastAsia="Calibri" w:hAnsi="Calibri"/>
          <w:i/>
          <w:iCs/>
          <w:sz w:val="21"/>
          <w:szCs w:val="21"/>
        </w:rPr>
        <w:t xml:space="preserve">The items that fail quietly if not checked every month.</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276"/>
        <w:gridCol w:w="4433"/>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Control</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 monthly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WPS file submitted, funded and confirmed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Permit bans from the first offence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WPS reconciled to the establishment file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Joiners missing and leavers left on are the two common breaches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Salaries paid match salaries registered with MOHRE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Underpayment is visible without a complaint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Emiratisation rate recalculated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Growth raises the target; penalties accrue monthly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Free zone: qualifying versus non-qualifying revenue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 minimis breach costs the 0% rate for five periods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VAT threshold rolling 12-month figure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Businesses cross it mid-year and find out at year end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DEWS or scheme contributions paid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Arrears cannot be caught up at exit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Visa and permit expiries in the next six months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Renewals take time; lapses cascade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GPSSA contributions paid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Emirati employees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[Payroll]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Reverse charge on imported services accounted for</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most missed VAT item</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r>
    </w:tbl>
    <w:p>
      <w:pPr>
        <w:spacing w:after="160"/>
      </w:pPr>
    </w:p>
    <w:p>
      <w:pPr>
        <w:keepNext/>
        <w:spacing w:after="120" w:before="280"/>
        <w:outlineLvl w:val="0"/>
      </w:pPr>
      <w:r>
        <w:rPr>
          <w:rFonts w:ascii="Calibri" w:cs="Calibri" w:eastAsia="Calibri" w:hAnsi="Calibri"/>
          <w:b/>
          <w:bCs/>
          <w:color w:val="14161B"/>
          <w:sz w:val="22"/>
          <w:szCs w:val="22"/>
        </w:rPr>
        <w:t xml:space="preserve">4. EVENT TRIGGERS</w:t>
      </w:r>
    </w:p>
    <w:p>
      <w:pPr>
        <w:spacing w:after="120" w:before="0" w:line="276"/>
        <w:jc w:val="both"/>
      </w:pPr>
      <w:r>
        <w:rPr>
          <w:rFonts w:ascii="Calibri" w:cs="Calibri" w:eastAsia="Calibri" w:hAnsi="Calibri"/>
          <w:i/>
          <w:iCs/>
          <w:sz w:val="21"/>
          <w:szCs w:val="21"/>
        </w:rPr>
        <w:t xml:space="preserve">These are not calendar items. They fire when something happens.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Event</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must follow</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 transfer or new shareholder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Notarisation; DED or zone approval; </w:t>
            </w:r>
            <w:r>
              <w:rPr>
                <w:rFonts w:ascii="Calibri" w:cs="Calibri" w:eastAsia="Calibri" w:hAnsi="Calibri"/>
                <w:b/>
                <w:bCs/>
                <w:sz w:val="17"/>
                <w:szCs w:val="17"/>
              </w:rPr>
              <w:t xml:space="preserve">UBO update and filing</w:t>
            </w:r>
            <w:r>
              <w:rPr>
                <w:rFonts w:ascii="Calibri" w:cs="Calibri" w:eastAsia="Calibri" w:hAnsi="Calibri"/>
                <w:sz w:val="17"/>
                <w:szCs w:val="17"/>
              </w:rPr>
              <w:t xml:space="preserve">; bank notification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Crossing 20, then 50 employees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Emiratisation obligations attach or increase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First mainland invoice from a free zone entity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Assess the de minimis before issuing it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New vendor processing personal data</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Processor agreement; transfer assessment; register update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Employee moved between group entities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termination and rehire</w:t>
            </w:r>
            <w:r>
              <w:rPr>
                <w:rFonts w:ascii="Calibri" w:cs="Calibri" w:eastAsia="Calibri" w:hAnsi="Calibri"/>
                <w:sz w:val="17"/>
                <w:szCs w:val="17"/>
              </w:rPr>
              <w:t xml:space="preserve"> — settle gratuity or scheme position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Change of premises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New tenancy and registration before licence amendment; quota recheck</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Change of activity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Licence amendment; MOA amendment if mainland; QFZP re-analysis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 or director change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Notarisation if mainland; licence amendment; bank mandate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Employee resignation or termination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Settle within 14 days; then cancel permit and visa</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Revenue crossing a tax or e-invoicing threshold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Registration or phase obligations begin</w:t>
            </w:r>
          </w:p>
        </w:tc>
      </w:tr>
    </w:tbl>
    <w:p>
      <w:pPr>
        <w:spacing w:after="160"/>
      </w:pPr>
    </w:p>
    <w:p>
      <w:pPr>
        <w:keepNext/>
        <w:spacing w:after="120" w:before="280"/>
        <w:outlineLvl w:val="0"/>
      </w:pPr>
      <w:r>
        <w:rPr>
          <w:rFonts w:ascii="Calibri" w:cs="Calibri" w:eastAsia="Calibri" w:hAnsi="Calibri"/>
          <w:b/>
          <w:bCs/>
          <w:color w:val="14161B"/>
          <w:sz w:val="22"/>
          <w:szCs w:val="22"/>
        </w:rPr>
        <w:t xml:space="preserve">5. SETTING IT UP</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 the jurisdiction — it removes rows that do not apply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Enter every expiry date from the actual documents, not from memory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Assign a named owner to each row, not a department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Set reminders </w:t>
            </w:r>
            <w:r>
              <w:rPr>
                <w:rFonts w:ascii="Calibri" w:cs="Calibri" w:eastAsia="Calibri" w:hAnsi="Calibri"/>
                <w:b/>
                <w:bCs/>
                <w:sz w:val="18"/>
                <w:szCs w:val="18"/>
              </w:rPr>
              <w:t xml:space="preserve">six months</w:t>
            </w:r>
            <w:r>
              <w:rPr>
                <w:rFonts w:ascii="Calibri" w:cs="Calibri" w:eastAsia="Calibri" w:hAnsi="Calibri"/>
                <w:sz w:val="18"/>
                <w:szCs w:val="18"/>
              </w:rPr>
              <w:t xml:space="preserve"> before licence, visa and card expiries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Set the monthly controls as a recurring task, not a checklist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 what was done and when, not just that it was done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Review the whole calendar annually against current requirements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Re-verify penalty rates and thresholds each January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Compliance fails through cascade</w:t>
      </w:r>
    </w:p>
    <w:p>
      <w:pPr>
        <w:spacing w:after="60" w:line="264"/>
        <w:jc w:val="both"/>
      </w:pPr>
      <w:r>
        <w:rPr>
          <w:rFonts w:ascii="Calibri" w:cs="Calibri" w:eastAsia="Calibri" w:hAnsi="Calibri"/>
          <w:sz w:val="19"/>
          <w:szCs w:val="19"/>
        </w:rPr>
        <w:t xml:space="preserve">A lapsed tenancy blocks the licence, the licence blocks the establishment card, the card blocks visa transactions, and suddenly you cannot renew anyone or hire. Each obligation is individually simple. The failure mode is that nobody sees them as one system, because finance owns half and HR owns the other half.</w:t>
      </w:r>
    </w:p>
    <w:p>
      <w:pPr>
        <w:keepNext/>
        <w:spacing w:after="40" w:before="140"/>
      </w:pPr>
      <w:r>
        <w:rPr>
          <w:rFonts w:ascii="Calibri" w:cs="Calibri" w:eastAsia="Calibri" w:hAnsi="Calibri"/>
          <w:b/>
          <w:bCs/>
          <w:color w:val="14161B"/>
          <w:sz w:val="20"/>
          <w:szCs w:val="20"/>
        </w:rPr>
        <w:t xml:space="preserve">Start renewals six months out, not one month</w:t>
      </w:r>
    </w:p>
    <w:p>
      <w:pPr>
        <w:spacing w:after="60" w:line="264"/>
        <w:jc w:val="both"/>
      </w:pPr>
      <w:r>
        <w:rPr>
          <w:rFonts w:ascii="Calibri" w:cs="Calibri" w:eastAsia="Calibri" w:hAnsi="Calibri"/>
          <w:sz w:val="19"/>
          <w:szCs w:val="19"/>
        </w:rPr>
        <w:t xml:space="preserve">Trade licence, establishment card, tenancy and visa renewals all involve third parties, documents and occasionally attestation. A one-month reminder produces a scramble; six months produces a process. This single change prevents most cascade failures.</w:t>
      </w:r>
    </w:p>
    <w:p>
      <w:pPr>
        <w:keepNext/>
        <w:spacing w:after="40" w:before="140"/>
      </w:pPr>
      <w:r>
        <w:rPr>
          <w:rFonts w:ascii="Calibri" w:cs="Calibri" w:eastAsia="Calibri" w:hAnsi="Calibri"/>
          <w:b/>
          <w:bCs/>
          <w:color w:val="14161B"/>
          <w:sz w:val="20"/>
          <w:szCs w:val="20"/>
        </w:rPr>
        <w:t xml:space="preserve">The monthly controls are where money is lost</w:t>
      </w:r>
    </w:p>
    <w:p>
      <w:pPr>
        <w:spacing w:after="60" w:line="264"/>
        <w:jc w:val="both"/>
      </w:pPr>
      <w:r>
        <w:rPr>
          <w:rFonts w:ascii="Calibri" w:cs="Calibri" w:eastAsia="Calibri" w:hAnsi="Calibri"/>
          <w:sz w:val="19"/>
          <w:szCs w:val="19"/>
        </w:rPr>
        <w:t xml:space="preserve">WPS, Emiratisation rate, free zone de minimis headroom and the VAT threshold all fail quietly between annual reviews, and by the time an annual check finds them the exposure has accrued. Section 3 is the part to automate.</w:t>
      </w:r>
    </w:p>
    <w:p>
      <w:pPr>
        <w:keepNext/>
        <w:spacing w:after="40" w:before="140"/>
      </w:pPr>
      <w:r>
        <w:rPr>
          <w:rFonts w:ascii="Calibri" w:cs="Calibri" w:eastAsia="Calibri" w:hAnsi="Calibri"/>
          <w:b/>
          <w:bCs/>
          <w:color w:val="14161B"/>
          <w:sz w:val="20"/>
          <w:szCs w:val="20"/>
        </w:rPr>
        <w:t xml:space="preserve">The de minimis needs monthly attention, not annual</w:t>
      </w:r>
    </w:p>
    <w:p>
      <w:pPr>
        <w:spacing w:after="60" w:line="264"/>
        <w:jc w:val="both"/>
      </w:pPr>
      <w:r>
        <w:rPr>
          <w:rFonts w:ascii="Calibri" w:cs="Calibri" w:eastAsia="Calibri" w:hAnsi="Calibri"/>
          <w:sz w:val="19"/>
          <w:szCs w:val="19"/>
        </w:rPr>
        <w:t xml:space="preserve">A free zone entity claiming the 0% rate must keep non-qualifying revenue within the lower of AED 5,000,000 or 5% of total revenue. Reviewed annually, a breach is discovered when it cannot be prevented — and it costs the preferential rate for that period and four more.</w:t>
      </w:r>
    </w:p>
    <w:p>
      <w:pPr>
        <w:keepNext/>
        <w:spacing w:after="40" w:before="140"/>
      </w:pPr>
      <w:r>
        <w:rPr>
          <w:rFonts w:ascii="Calibri" w:cs="Calibri" w:eastAsia="Calibri" w:hAnsi="Calibri"/>
          <w:b/>
          <w:bCs/>
          <w:color w:val="14161B"/>
          <w:sz w:val="20"/>
          <w:szCs w:val="20"/>
        </w:rPr>
        <w:t xml:space="preserve">Emiratisation targets move with headcount</w:t>
      </w:r>
    </w:p>
    <w:p>
      <w:pPr>
        <w:spacing w:after="60" w:line="264"/>
        <w:jc w:val="both"/>
      </w:pPr>
      <w:r>
        <w:rPr>
          <w:rFonts w:ascii="Calibri" w:cs="Calibri" w:eastAsia="Calibri" w:hAnsi="Calibri"/>
          <w:sz w:val="19"/>
          <w:szCs w:val="19"/>
        </w:rPr>
        <w:t xml:space="preserve">Every additional skilled non-Emirati hire raises the quota base. A growing company can fall out of compliance without losing a single Emirati employee. Recalculate monthly against the skilled headcount, not annually against the total.</w:t>
      </w:r>
    </w:p>
    <w:p>
      <w:pPr>
        <w:keepNext/>
        <w:spacing w:after="40" w:before="140"/>
      </w:pPr>
      <w:r>
        <w:rPr>
          <w:rFonts w:ascii="Calibri" w:cs="Calibri" w:eastAsia="Calibri" w:hAnsi="Calibri"/>
          <w:b/>
          <w:bCs/>
          <w:color w:val="14161B"/>
          <w:sz w:val="20"/>
          <w:szCs w:val="20"/>
        </w:rPr>
        <w:t xml:space="preserve">WPS reconciliation catches the two common breaches</w:t>
      </w:r>
    </w:p>
    <w:p>
      <w:pPr>
        <w:spacing w:after="60" w:line="264"/>
        <w:jc w:val="both"/>
      </w:pPr>
      <w:r>
        <w:rPr>
          <w:rFonts w:ascii="Calibri" w:cs="Calibri" w:eastAsia="Calibri" w:hAnsi="Calibri"/>
          <w:sz w:val="19"/>
          <w:szCs w:val="19"/>
        </w:rPr>
        <w:t xml:space="preserve">A new joiner with a work permit who never reached payroll, and a leaver removed from the file before the final period was paid. Both show as non-payment. A monthly reconciliation between the establishment file and the salary file catches both.</w:t>
      </w:r>
    </w:p>
    <w:p>
      <w:pPr>
        <w:keepNext/>
        <w:spacing w:after="40" w:before="140"/>
      </w:pPr>
      <w:r>
        <w:rPr>
          <w:rFonts w:ascii="Calibri" w:cs="Calibri" w:eastAsia="Calibri" w:hAnsi="Calibri"/>
          <w:b/>
          <w:bCs/>
          <w:color w:val="14161B"/>
          <w:sz w:val="20"/>
          <w:szCs w:val="20"/>
        </w:rPr>
        <w:t xml:space="preserve">Scheme contributions cannot be caught up</w:t>
      </w:r>
    </w:p>
    <w:p>
      <w:pPr>
        <w:spacing w:after="60" w:line="264"/>
        <w:jc w:val="both"/>
      </w:pPr>
      <w:r>
        <w:rPr>
          <w:rFonts w:ascii="Calibri" w:cs="Calibri" w:eastAsia="Calibri" w:hAnsi="Calibri"/>
          <w:sz w:val="19"/>
          <w:szCs w:val="19"/>
        </w:rPr>
        <w:t xml:space="preserve">DIFC and ADGM funded end-of-service schemes require actual monthly transfers, not an accrued provision. Missed months accumulate as arrears and are pursued. Employers migrating from a mainland entity frequently keep accruing and never set up the scheme.</w:t>
      </w:r>
    </w:p>
    <w:p>
      <w:pPr>
        <w:keepNext/>
        <w:spacing w:after="40" w:before="140"/>
      </w:pPr>
      <w:r>
        <w:rPr>
          <w:rFonts w:ascii="Calibri" w:cs="Calibri" w:eastAsia="Calibri" w:hAnsi="Calibri"/>
          <w:b/>
          <w:bCs/>
          <w:color w:val="14161B"/>
          <w:sz w:val="20"/>
          <w:szCs w:val="20"/>
        </w:rPr>
        <w:t xml:space="preserve">Register for corporate tax even with no expected liability</w:t>
      </w:r>
    </w:p>
    <w:p>
      <w:pPr>
        <w:spacing w:after="60" w:line="264"/>
        <w:jc w:val="both"/>
      </w:pPr>
      <w:r>
        <w:rPr>
          <w:rFonts w:ascii="Calibri" w:cs="Calibri" w:eastAsia="Calibri" w:hAnsi="Calibri"/>
          <w:sz w:val="19"/>
          <w:szCs w:val="19"/>
        </w:rPr>
        <w:t xml:space="preserve">Registration is mandatory regardless of whether tax is payable, including for free zone entities and businesses electing Small Business Relief. It is the most common first-year failure and it is entirely avoidable.</w:t>
      </w:r>
    </w:p>
    <w:p>
      <w:pPr>
        <w:keepNext/>
        <w:spacing w:after="40" w:before="140"/>
      </w:pPr>
      <w:r>
        <w:rPr>
          <w:rFonts w:ascii="Calibri" w:cs="Calibri" w:eastAsia="Calibri" w:hAnsi="Calibri"/>
          <w:b/>
          <w:bCs/>
          <w:color w:val="14161B"/>
          <w:sz w:val="20"/>
          <w:szCs w:val="20"/>
        </w:rPr>
        <w:t xml:space="preserve">Assign a person, not a department</w:t>
      </w:r>
    </w:p>
    <w:p>
      <w:pPr>
        <w:spacing w:after="60" w:line="264"/>
        <w:jc w:val="both"/>
      </w:pPr>
      <w:r>
        <w:rPr>
          <w:rFonts w:ascii="Calibri" w:cs="Calibri" w:eastAsia="Calibri" w:hAnsi="Calibri"/>
          <w:sz w:val="19"/>
          <w:szCs w:val="19"/>
        </w:rPr>
        <w:t xml:space="preserve">Rows owned by "Finance" or "HR" are owned by nobody. Name an individual for each, and name a deputy. Most missed deadlines trace to a handover where the obligation was not passed on.</w:t>
      </w:r>
    </w:p>
    <w:p>
      <w:pPr>
        <w:keepNext/>
        <w:spacing w:after="40" w:before="140"/>
      </w:pPr>
      <w:r>
        <w:rPr>
          <w:rFonts w:ascii="Calibri" w:cs="Calibri" w:eastAsia="Calibri" w:hAnsi="Calibri"/>
          <w:b/>
          <w:bCs/>
          <w:color w:val="14161B"/>
          <w:sz w:val="20"/>
          <w:szCs w:val="20"/>
        </w:rPr>
        <w:t xml:space="preserve">Event triggers are not calendar items</w:t>
      </w:r>
    </w:p>
    <w:p>
      <w:pPr>
        <w:spacing w:after="60" w:line="264"/>
        <w:jc w:val="both"/>
      </w:pPr>
      <w:r>
        <w:rPr>
          <w:rFonts w:ascii="Calibri" w:cs="Calibri" w:eastAsia="Calibri" w:hAnsi="Calibri"/>
          <w:sz w:val="19"/>
          <w:szCs w:val="19"/>
        </w:rPr>
        <w:t xml:space="preserve">A share transfer, a headcount threshold, a new data processor or a change of premises each fire a chain of obligations that no annual calendar catches. Section 4 exists because these are the ones that produce genuine surprises.</w:t>
      </w:r>
    </w:p>
    <w:p>
      <w:pPr>
        <w:keepNext/>
        <w:spacing w:after="40" w:before="140"/>
      </w:pPr>
      <w:r>
        <w:rPr>
          <w:rFonts w:ascii="Calibri" w:cs="Calibri" w:eastAsia="Calibri" w:hAnsi="Calibri"/>
          <w:b/>
          <w:bCs/>
          <w:color w:val="14161B"/>
          <w:sz w:val="20"/>
          <w:szCs w:val="20"/>
        </w:rPr>
        <w:t xml:space="preserve">Moving an employee between group entities is a termination</w:t>
      </w:r>
    </w:p>
    <w:p>
      <w:pPr>
        <w:spacing w:after="60" w:line="264"/>
        <w:jc w:val="both"/>
      </w:pPr>
      <w:r>
        <w:rPr>
          <w:rFonts w:ascii="Calibri" w:cs="Calibri" w:eastAsia="Calibri" w:hAnsi="Calibri"/>
          <w:sz w:val="19"/>
          <w:szCs w:val="19"/>
        </w:rPr>
        <w:t xml:space="preserve">A transfer from a mainland company to a DIFC affiliate ends the mainland employment. Gratuity crystallises and must be settled within 14 days, the permit and visa change, and scheme contributions begin. Groups treat it as internal and leave an unsettled liability.</w:t>
      </w:r>
    </w:p>
    <w:p>
      <w:pPr>
        <w:keepNext/>
        <w:spacing w:after="40" w:before="140"/>
      </w:pPr>
      <w:r>
        <w:rPr>
          <w:rFonts w:ascii="Calibri" w:cs="Calibri" w:eastAsia="Calibri" w:hAnsi="Calibri"/>
          <w:b/>
          <w:bCs/>
          <w:color w:val="14161B"/>
          <w:sz w:val="20"/>
          <w:szCs w:val="20"/>
        </w:rPr>
        <w:t xml:space="preserve">Record what was done, not just that it was done</w:t>
      </w:r>
    </w:p>
    <w:p>
      <w:pPr>
        <w:spacing w:after="60" w:line="264"/>
        <w:jc w:val="both"/>
      </w:pPr>
      <w:r>
        <w:rPr>
          <w:rFonts w:ascii="Calibri" w:cs="Calibri" w:eastAsia="Calibri" w:hAnsi="Calibri"/>
          <w:sz w:val="19"/>
          <w:szCs w:val="19"/>
        </w:rPr>
        <w:t xml:space="preserve">A tick means nothing to an inspector or an auditor. Record the date, the reference number, the amount and who did it. The evidence is the point, and it takes no longer than the tick.</w:t>
      </w:r>
    </w:p>
    <w:p>
      <w:pPr>
        <w:keepNext/>
        <w:spacing w:after="40" w:before="140"/>
      </w:pPr>
      <w:r>
        <w:rPr>
          <w:rFonts w:ascii="Calibri" w:cs="Calibri" w:eastAsia="Calibri" w:hAnsi="Calibri"/>
          <w:b/>
          <w:bCs/>
          <w:color w:val="14161B"/>
          <w:sz w:val="20"/>
          <w:szCs w:val="20"/>
        </w:rPr>
        <w:t xml:space="preserve">Re-verify thresholds and penalties annually</w:t>
      </w:r>
    </w:p>
    <w:p>
      <w:pPr>
        <w:spacing w:after="60" w:line="264"/>
        <w:jc w:val="both"/>
      </w:pPr>
      <w:r>
        <w:rPr>
          <w:rFonts w:ascii="Calibri" w:cs="Calibri" w:eastAsia="Calibri" w:hAnsi="Calibri"/>
          <w:sz w:val="19"/>
          <w:szCs w:val="19"/>
        </w:rPr>
        <w:t xml:space="preserve">Emiratisation targets step up each year, penalty rates rise, tax thresholds and e-invoicing phases change, and reliefs expire. Any figure in a compliance calendar is a snapshot. Diarise a January review of the numbers themselves.</w:t>
      </w:r>
    </w:p>
    <w:p>
      <w:pPr>
        <w:keepNext/>
        <w:spacing w:after="40" w:before="140"/>
      </w:pPr>
      <w:r>
        <w:rPr>
          <w:rFonts w:ascii="Calibri" w:cs="Calibri" w:eastAsia="Calibri" w:hAnsi="Calibri"/>
          <w:b/>
          <w:bCs/>
          <w:color w:val="14161B"/>
          <w:sz w:val="20"/>
          <w:szCs w:val="20"/>
        </w:rPr>
        <w:t xml:space="preserve">Free zone and DIFC entities can delete rows</w:t>
      </w:r>
    </w:p>
    <w:p>
      <w:pPr>
        <w:spacing w:after="60" w:line="264"/>
        <w:jc w:val="both"/>
      </w:pPr>
      <w:r>
        <w:rPr>
          <w:rFonts w:ascii="Calibri" w:cs="Calibri" w:eastAsia="Calibri" w:hAnsi="Calibri"/>
          <w:sz w:val="19"/>
          <w:szCs w:val="19"/>
        </w:rPr>
        <w:t xml:space="preserve">Emiratisation, WPS in its mainland form and several licensing steps do not apply outside the mainland, while DIFC adds its own — scheme contributions and the annual data protection notification. Prune the calendar to the jurisdiction rather than carrying rows that will be ignored.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Deadlines, thresholds, penalty rates, Emiratisation targets, e-invoicing phasing and free zone requirements all change and differ by emirate and zone — confirm each item against the relevant authority when building the calendar, and review it annually.</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2026-08-23T16:28:34.260Z</dcterms:created>
  <dcterms:modified xsi:type="dcterms:W3CDTF">2026-08-23T16:28:34.260Z</dcterms:modified>
</cp:coreProperties>
</file>

<file path=docProps/custom.xml><?xml version="1.0" encoding="utf-8"?>
<Properties xmlns="http://schemas.openxmlformats.org/officeDocument/2006/custom-properties" xmlns:vt="http://schemas.openxmlformats.org/officeDocument/2006/docPropsVTypes"/>
</file>