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ADGM DATA PROTECTION POLICY</w:t>
      </w:r>
    </w:p>
    <w:p>
      <w:pPr>
        <w:spacing w:after="260"/>
        <w:jc w:val="center"/>
      </w:pPr>
      <w:r>
        <w:rPr>
          <w:rFonts w:ascii="Calibri" w:cs="Calibri" w:eastAsia="Calibri" w:hAnsi="Calibri"/>
          <w:i/>
          <w:iCs/>
          <w:color w:val="6E7480"/>
          <w:sz w:val="19"/>
          <w:szCs w:val="19"/>
        </w:rPr>
        <w:t xml:space="preserve">Abu Dhabi Global Market — </w:t>
      </w: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ADGM operates its own data protection regime under the </w:t>
      </w:r>
      <w:r>
        <w:rPr>
          <w:rFonts w:ascii="Calibri" w:cs="Calibri" w:eastAsia="Calibri" w:hAnsi="Calibri"/>
          <w:b/>
          <w:bCs/>
          <w:i/>
          <w:iCs/>
          <w:color w:val="6E7480"/>
          <w:sz w:val="21"/>
          <w:szCs w:val="21"/>
        </w:rPr>
        <w:t xml:space="preserve">Data Protection Regulations 2021</w:t>
      </w:r>
      <w:r>
        <w:rPr>
          <w:rFonts w:ascii="Calibri" w:cs="Calibri" w:eastAsia="Calibri" w:hAnsi="Calibri"/>
          <w:i/>
          <w:iCs/>
          <w:color w:val="6E7480"/>
          <w:sz w:val="21"/>
          <w:szCs w:val="21"/>
        </w:rPr>
        <w:t xml:space="preserve">, administered by its own Office of Data Protection, with </w:t>
      </w:r>
      <w:r>
        <w:rPr>
          <w:rFonts w:ascii="Calibri" w:cs="Calibri" w:eastAsia="Calibri" w:hAnsi="Calibri"/>
          <w:b/>
          <w:bCs/>
          <w:i/>
          <w:iCs/>
          <w:color w:val="6E7480"/>
          <w:sz w:val="21"/>
          <w:szCs w:val="21"/>
        </w:rPr>
        <w:t xml:space="preserve">direct application of English common law</w:t>
      </w:r>
      <w:r>
        <w:rPr>
          <w:rFonts w:ascii="Calibri" w:cs="Calibri" w:eastAsia="Calibri" w:hAnsi="Calibri"/>
          <w:i/>
          <w:iCs/>
          <w:color w:val="6E7480"/>
          <w:sz w:val="21"/>
          <w:szCs w:val="21"/>
        </w:rPr>
        <w:t xml:space="preserve"> in the background. It is not the federal PDPL and it is not identical to DIFC — the two financial free zones maintain separate rules and separate adequacy lists.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5"/>
        <w:gridCol w:w="5783"/>
      </w:tblGrid>
      <w:tr>
        <w:trPr>
          <w:cantSplit/>
          <w:tblHeader/>
        </w:trPr>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578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Entity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ADGM registration </w:t>
            </w:r>
            <w:r>
              <w:rPr>
                <w:rFonts w:ascii="Calibri" w:cs="Calibri" w:eastAsia="Calibri" w:hAnsi="Calibri"/>
                <w:b/>
                <w:bCs/>
                <w:sz w:val="19"/>
                <w:szCs w:val="19"/>
              </w:rPr>
              <w:t xml:space="preserve">[NUMBER]</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Role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[Controller / Processor / Both]</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Governing law</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ADGM Data Protection Regulations 2021</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Regulator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ADGM Office of Data Protection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Data Protection Officer</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 — or "not appointed"; see Section 5]</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or notification with the Office</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r>
              <w:rPr>
                <w:rFonts w:ascii="Calibri" w:cs="Calibri" w:eastAsia="Calibri" w:hAnsi="Calibri"/>
                <w:sz w:val="19"/>
                <w:szCs w:val="19"/>
              </w:rPr>
              <w:t xml:space="preserve"> — </w:t>
            </w:r>
            <w:r>
              <w:rPr>
                <w:rFonts w:ascii="Calibri" w:cs="Calibri" w:eastAsia="Calibri" w:hAnsi="Calibri"/>
                <w:i/>
                <w:iCs/>
                <w:sz w:val="19"/>
                <w:szCs w:val="19"/>
              </w:rPr>
              <w:t xml:space="preserve">confirm the current requirement</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High risk processing?</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Approved by</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r>
              <w:rPr>
                <w:rFonts w:ascii="Calibri" w:cs="Calibri" w:eastAsia="Calibri" w:hAnsi="Calibri"/>
                <w:sz w:val="19"/>
                <w:szCs w:val="19"/>
              </w:rPr>
              <w:t xml:space="preserve">, on </w:t>
            </w:r>
            <w:r>
              <w:rPr>
                <w:rFonts w:ascii="Calibri" w:cs="Calibri" w:eastAsia="Calibri" w:hAnsi="Calibri"/>
                <w:b/>
                <w:bCs/>
                <w:sz w:val="19"/>
                <w:szCs w:val="19"/>
              </w:rPr>
              <w:t xml:space="preserve">[DATE]</w:t>
            </w:r>
          </w:p>
        </w:tc>
      </w:tr>
      <w:tr>
        <w:trPr>
          <w:cantSplit/>
        </w:trPr>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Review</w:t>
            </w:r>
          </w:p>
        </w:tc>
        <w:tc>
          <w:tcPr>
            <w:tcW w:type="dxa" w:w="5783"/>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Annually</w:t>
            </w:r>
          </w:p>
        </w:tc>
      </w:tr>
    </w:tbl>
    <w:p>
      <w:pPr>
        <w:spacing w:after="180"/>
      </w:pPr>
    </w:p>
    <w:p>
      <w:pPr>
        <w:keepNext/>
        <w:spacing w:after="120" w:before="280"/>
        <w:outlineLvl w:val="0"/>
      </w:pPr>
      <w:r>
        <w:rPr>
          <w:rFonts w:ascii="Calibri" w:cs="Calibri" w:eastAsia="Calibri" w:hAnsi="Calibri"/>
          <w:b/>
          <w:bCs/>
          <w:color w:val="14161B"/>
          <w:sz w:val="22"/>
          <w:szCs w:val="22"/>
        </w:rPr>
        <w:t xml:space="preserve">1. SCOPE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This policy applies to processing of personal data by </w:t>
      </w:r>
      <w:r>
        <w:rPr>
          <w:rFonts w:ascii="Calibri" w:cs="Calibri" w:eastAsia="Calibri" w:hAnsi="Calibri"/>
          <w:b/>
          <w:bCs/>
          <w:sz w:val="21"/>
          <w:szCs w:val="21"/>
        </w:rPr>
        <w:t xml:space="preserve">[COMPANY NAME]</w:t>
      </w:r>
      <w:r>
        <w:rPr>
          <w:rFonts w:ascii="Calibri" w:cs="Calibri" w:eastAsia="Calibri" w:hAnsi="Calibri"/>
          <w:sz w:val="21"/>
          <w:szCs w:val="21"/>
        </w:rPr>
        <w:t xml:space="preserve"> as an entity established in the Abu Dhabi Global Market.</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w:t>
      </w:r>
      <w:r>
        <w:rPr>
          <w:rFonts w:ascii="Calibri" w:cs="Calibri" w:eastAsia="Calibri" w:hAnsi="Calibri"/>
          <w:b/>
          <w:bCs/>
          <w:sz w:val="21"/>
          <w:szCs w:val="21"/>
        </w:rPr>
        <w:t xml:space="preserve">federal UAE Personal Data Protection Law does not apply</w:t>
      </w:r>
      <w:r>
        <w:rPr>
          <w:rFonts w:ascii="Calibri" w:cs="Calibri" w:eastAsia="Calibri" w:hAnsi="Calibri"/>
          <w:sz w:val="21"/>
          <w:szCs w:val="21"/>
        </w:rPr>
        <w:t xml:space="preserve"> to processing by an ADGM entity within ADGM. The DIFC Data Protection Law does not apply either — these are separate regimes.</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Where the group also operates a mainland, free zone or DIFC entity, </w:t>
      </w:r>
      <w:r>
        <w:rPr>
          <w:rFonts w:ascii="Calibri" w:cs="Calibri" w:eastAsia="Calibri" w:hAnsi="Calibri"/>
          <w:b/>
          <w:bCs/>
          <w:sz w:val="21"/>
          <w:szCs w:val="21"/>
        </w:rPr>
        <w:t xml:space="preserve">that entity is separately subject to its own regime</w:t>
      </w:r>
      <w:r>
        <w:rPr>
          <w:rFonts w:ascii="Calibri" w:cs="Calibri" w:eastAsia="Calibri" w:hAnsi="Calibri"/>
          <w:sz w:val="21"/>
          <w:szCs w:val="21"/>
        </w:rPr>
        <w:t xml:space="preserve">. Mapping is per entity and per dataset.</w:t>
      </w:r>
    </w:p>
    <w:p>
      <w:pPr>
        <w:keepNext/>
        <w:spacing w:after="120" w:before="280"/>
        <w:outlineLvl w:val="0"/>
      </w:pPr>
      <w:r>
        <w:rPr>
          <w:rFonts w:ascii="Calibri" w:cs="Calibri" w:eastAsia="Calibri" w:hAnsi="Calibri"/>
          <w:b/>
          <w:bCs/>
          <w:color w:val="14161B"/>
          <w:sz w:val="22"/>
          <w:szCs w:val="22"/>
        </w:rPr>
        <w:t xml:space="preserve">2. PRINCIPLES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cantSplit/>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Principle</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Requirement</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Lawfulness, fairness and transparency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 lawfully and tell people what you do</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Purpose limitation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Specified, explicit, legitimate purposes</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minimisation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Adequate, relevant, limited to what is necessary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Accuracy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Accurate and kept up to date</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Storage limitation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Kept no longer than necessary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Integrity and confidentiality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Appropriate security</w:t>
            </w:r>
          </w:p>
        </w:tc>
      </w:tr>
      <w:tr>
        <w:trPr>
          <w:cantSplit/>
        </w:trP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Accountability</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Demonstrate compliance</w:t>
            </w:r>
            <w:r>
              <w:rPr>
                <w:rFonts w:ascii="Calibri" w:cs="Calibri" w:eastAsia="Calibri" w:hAnsi="Calibri"/>
                <w:sz w:val="18"/>
                <w:szCs w:val="18"/>
              </w:rPr>
              <w:t xml:space="preserve"> — records, assessments, governance</w:t>
            </w:r>
          </w:p>
        </w:tc>
      </w:tr>
    </w:tbl>
    <w:p>
      <w:pPr>
        <w:keepNext/>
        <w:spacing w:after="120" w:before="280"/>
        <w:outlineLvl w:val="0"/>
      </w:pPr>
      <w:r>
        <w:rPr>
          <w:rFonts w:ascii="Calibri" w:cs="Calibri" w:eastAsia="Calibri" w:hAnsi="Calibri"/>
          <w:b/>
          <w:bCs/>
          <w:color w:val="14161B"/>
          <w:sz w:val="22"/>
          <w:szCs w:val="22"/>
        </w:rPr>
        <w:t xml:space="preserve">3. LAWFUL BASIS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Processing requires one of: </w:t>
      </w:r>
      <w:r>
        <w:rPr>
          <w:rFonts w:ascii="Calibri" w:cs="Calibri" w:eastAsia="Calibri" w:hAnsi="Calibri"/>
          <w:b/>
          <w:bCs/>
          <w:sz w:val="21"/>
          <w:szCs w:val="21"/>
        </w:rPr>
        <w:t xml:space="preserve">consent</w:t>
      </w:r>
      <w:r>
        <w:rPr>
          <w:rFonts w:ascii="Calibri" w:cs="Calibri" w:eastAsia="Calibri" w:hAnsi="Calibri"/>
          <w:sz w:val="21"/>
          <w:szCs w:val="21"/>
        </w:rPr>
        <w:t xml:space="preserve">; performance of a </w:t>
      </w:r>
      <w:r>
        <w:rPr>
          <w:rFonts w:ascii="Calibri" w:cs="Calibri" w:eastAsia="Calibri" w:hAnsi="Calibri"/>
          <w:b/>
          <w:bCs/>
          <w:sz w:val="21"/>
          <w:szCs w:val="21"/>
        </w:rPr>
        <w:t xml:space="preserve">contract</w:t>
      </w:r>
      <w:r>
        <w:rPr>
          <w:rFonts w:ascii="Calibri" w:cs="Calibri" w:eastAsia="Calibri" w:hAnsi="Calibri"/>
          <w:sz w:val="21"/>
          <w:szCs w:val="21"/>
        </w:rPr>
        <w:t xml:space="preserve">; compliance with a </w:t>
      </w:r>
      <w:r>
        <w:rPr>
          <w:rFonts w:ascii="Calibri" w:cs="Calibri" w:eastAsia="Calibri" w:hAnsi="Calibri"/>
          <w:b/>
          <w:bCs/>
          <w:sz w:val="21"/>
          <w:szCs w:val="21"/>
        </w:rPr>
        <w:t xml:space="preserve">legal obligation</w:t>
      </w:r>
      <w:r>
        <w:rPr>
          <w:rFonts w:ascii="Calibri" w:cs="Calibri" w:eastAsia="Calibri" w:hAnsi="Calibri"/>
          <w:sz w:val="21"/>
          <w:szCs w:val="21"/>
        </w:rPr>
        <w:t xml:space="preserve">; protection of </w:t>
      </w:r>
      <w:r>
        <w:rPr>
          <w:rFonts w:ascii="Calibri" w:cs="Calibri" w:eastAsia="Calibri" w:hAnsi="Calibri"/>
          <w:b/>
          <w:bCs/>
          <w:sz w:val="21"/>
          <w:szCs w:val="21"/>
        </w:rPr>
        <w:t xml:space="preserve">vital interests</w:t>
      </w:r>
      <w:r>
        <w:rPr>
          <w:rFonts w:ascii="Calibri" w:cs="Calibri" w:eastAsia="Calibri" w:hAnsi="Calibri"/>
          <w:sz w:val="21"/>
          <w:szCs w:val="21"/>
        </w:rPr>
        <w:t xml:space="preserve">; a task in the </w:t>
      </w:r>
      <w:r>
        <w:rPr>
          <w:rFonts w:ascii="Calibri" w:cs="Calibri" w:eastAsia="Calibri" w:hAnsi="Calibri"/>
          <w:b/>
          <w:bCs/>
          <w:sz w:val="21"/>
          <w:szCs w:val="21"/>
        </w:rPr>
        <w:t xml:space="preserve">public interest</w:t>
      </w:r>
      <w:r>
        <w:rPr>
          <w:rFonts w:ascii="Calibri" w:cs="Calibri" w:eastAsia="Calibri" w:hAnsi="Calibri"/>
          <w:sz w:val="21"/>
          <w:szCs w:val="21"/>
        </w:rPr>
        <w:t xml:space="preserve">; or </w:t>
      </w:r>
      <w:r>
        <w:rPr>
          <w:rFonts w:ascii="Calibri" w:cs="Calibri" w:eastAsia="Calibri" w:hAnsi="Calibri"/>
          <w:b/>
          <w:bCs/>
          <w:sz w:val="21"/>
          <w:szCs w:val="21"/>
        </w:rPr>
        <w:t xml:space="preserve">legitimate interests</w:t>
      </w:r>
      <w:r>
        <w:rPr>
          <w:rFonts w:ascii="Calibri" w:cs="Calibri" w:eastAsia="Calibri" w:hAnsi="Calibri"/>
          <w:sz w:val="21"/>
          <w:szCs w:val="21"/>
        </w:rPr>
        <w:t xml:space="preserve"> pursued by the Company or a third party, except where overridden by the data subject’s interests or rights.</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w:t>
      </w:r>
      <w:r>
        <w:rPr>
          <w:rFonts w:ascii="Calibri" w:cs="Calibri" w:eastAsia="Calibri" w:hAnsi="Calibri"/>
          <w:b/>
          <w:bCs/>
          <w:sz w:val="21"/>
          <w:szCs w:val="21"/>
        </w:rPr>
        <w:t xml:space="preserve">legitimate interests</w:t>
      </w:r>
      <w:r>
        <w:rPr>
          <w:rFonts w:ascii="Calibri" w:cs="Calibri" w:eastAsia="Calibri" w:hAnsi="Calibri"/>
          <w:sz w:val="21"/>
          <w:szCs w:val="21"/>
        </w:rPr>
        <w:t xml:space="preserve"> is relied on, a balancing assessment is carried out and retained — the interest pursued, why the processing is necessary, the effect on the individual, and the safeguards applied.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Special categories</w:t>
      </w:r>
      <w:r>
        <w:rPr>
          <w:rFonts w:ascii="Calibri" w:cs="Calibri" w:eastAsia="Calibri" w:hAnsi="Calibri"/>
          <w:sz w:val="21"/>
          <w:szCs w:val="21"/>
        </w:rPr>
        <w:t xml:space="preserve"> of personal data require an additional condition to be met.</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i/>
          <w:iCs/>
          <w:sz w:val="21"/>
          <w:szCs w:val="21"/>
        </w:rPr>
        <w:t xml:space="preserve">Like DIFC and unlike the federal regime, legitimate interests is available here. An assessment prepared for an ADGM entity does not, however, support the same processing by a mainland affiliate.</w:t>
      </w:r>
    </w:p>
    <w:p>
      <w:pPr>
        <w:keepNext/>
        <w:spacing w:after="120" w:before="280"/>
        <w:outlineLvl w:val="0"/>
      </w:pPr>
      <w:r>
        <w:rPr>
          <w:rFonts w:ascii="Calibri" w:cs="Calibri" w:eastAsia="Calibri" w:hAnsi="Calibri"/>
          <w:b/>
          <w:bCs/>
          <w:color w:val="14161B"/>
          <w:sz w:val="22"/>
          <w:szCs w:val="22"/>
        </w:rPr>
        <w:t xml:space="preserve">4. DATA SUBJECT RIGHTS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Right</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Response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Access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Confirm processing and provide a copy with the prescribed information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Rectification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Correct inaccurate or incomplete data</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Erasure</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Delete where a ground applies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Restrict in defined circumstances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portability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Structured, commonly used, machine-readable format</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Objection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Including to direct marketing, which must be honoured</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Automated decision-making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 to be subject to a decision based solely on automated processing with legal or similarly significant effects, subject to exceptions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Withdraw consent</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easily as it was given</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Complain</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To the ADGM Office of Data Protection</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Requests go to </w:t>
      </w:r>
      <w:r>
        <w:rPr>
          <w:rFonts w:ascii="Calibri" w:cs="Calibri" w:eastAsia="Calibri" w:hAnsi="Calibri"/>
          <w:b/>
          <w:bCs/>
          <w:sz w:val="21"/>
          <w:szCs w:val="21"/>
        </w:rPr>
        <w:t xml:space="preserve">[EMAIL]</w:t>
      </w:r>
      <w:r>
        <w:rPr>
          <w:rFonts w:ascii="Calibri" w:cs="Calibri" w:eastAsia="Calibri" w:hAnsi="Calibri"/>
          <w:sz w:val="21"/>
          <w:szCs w:val="21"/>
        </w:rPr>
        <w:t xml:space="preserve">, are acknowledged within </w:t>
      </w:r>
      <w:r>
        <w:rPr>
          <w:rFonts w:ascii="Calibri" w:cs="Calibri" w:eastAsia="Calibri" w:hAnsi="Calibri"/>
          <w:b/>
          <w:bCs/>
          <w:sz w:val="21"/>
          <w:szCs w:val="21"/>
        </w:rPr>
        <w:t xml:space="preserve">[3]</w:t>
      </w:r>
      <w:r>
        <w:rPr>
          <w:rFonts w:ascii="Calibri" w:cs="Calibri" w:eastAsia="Calibri" w:hAnsi="Calibri"/>
          <w:b/>
          <w:bCs/>
          <w:sz w:val="21"/>
          <w:szCs w:val="21"/>
        </w:rPr>
        <w:t xml:space="preserve"> working days</w:t>
      </w:r>
      <w:r>
        <w:rPr>
          <w:rFonts w:ascii="Calibri" w:cs="Calibri" w:eastAsia="Calibri" w:hAnsi="Calibri"/>
          <w:sz w:val="21"/>
          <w:szCs w:val="21"/>
        </w:rPr>
        <w:t xml:space="preserve">, and answered within the period the Regulations require — </w:t>
      </w:r>
      <w:r>
        <w:rPr>
          <w:rFonts w:ascii="Calibri" w:cs="Calibri" w:eastAsia="Calibri" w:hAnsi="Calibri"/>
          <w:i/>
          <w:iCs/>
          <w:sz w:val="21"/>
          <w:szCs w:val="21"/>
        </w:rPr>
        <w:t xml:space="preserve">confirm the current period and publish it consistently</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 register of requests, dates and outcomes is maintained.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GOVERNANCE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b/>
          <w:bCs/>
          <w:sz w:val="21"/>
          <w:szCs w:val="21"/>
        </w:rPr>
        <w:t xml:space="preserve">Data Protection Officer.</w:t>
      </w:r>
      <w:r>
        <w:rPr>
          <w:rFonts w:ascii="Calibri" w:cs="Calibri" w:eastAsia="Calibri" w:hAnsi="Calibri"/>
          <w:sz w:val="21"/>
          <w:szCs w:val="21"/>
        </w:rPr>
        <w:t xml:space="preserve"> Appointed where the Company undertakes high risk processing activities. Where appointed, the contact details are published and the appointment notified as required.</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b/>
          <w:bCs/>
          <w:sz w:val="21"/>
          <w:szCs w:val="21"/>
        </w:rPr>
        <w:t xml:space="preserve">Notification or registration</w:t>
      </w:r>
      <w:r>
        <w:rPr>
          <w:rFonts w:ascii="Calibri" w:cs="Calibri" w:eastAsia="Calibri" w:hAnsi="Calibri"/>
          <w:sz w:val="21"/>
          <w:szCs w:val="21"/>
        </w:rPr>
        <w:t xml:space="preserve"> with the ADGM Office of Data Protection is made and kept current where required. </w:t>
      </w:r>
      <w:r>
        <w:rPr>
          <w:rFonts w:ascii="Calibri" w:cs="Calibri" w:eastAsia="Calibri" w:hAnsi="Calibri"/>
          <w:i/>
          <w:iCs/>
          <w:sz w:val="21"/>
          <w:szCs w:val="21"/>
        </w:rPr>
        <w:t xml:space="preserve">Confirm the current requirement and any fee — it has been subject to change.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b/>
          <w:bCs/>
          <w:sz w:val="21"/>
          <w:szCs w:val="21"/>
        </w:rPr>
        <w:t xml:space="preserve">Data protection impact assessment</w:t>
      </w:r>
      <w:r>
        <w:rPr>
          <w:rFonts w:ascii="Calibri" w:cs="Calibri" w:eastAsia="Calibri" w:hAnsi="Calibri"/>
          <w:sz w:val="21"/>
          <w:szCs w:val="21"/>
        </w:rPr>
        <w:t xml:space="preserve"> is carried out before any high risk processing, recording the processing, its necessity and proportionality, the risks, and the measures addressing them.</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b/>
          <w:bCs/>
          <w:sz w:val="21"/>
          <w:szCs w:val="21"/>
        </w:rPr>
        <w:t xml:space="preserve">Records of processing</w:t>
      </w:r>
      <w:r>
        <w:rPr>
          <w:rFonts w:ascii="Calibri" w:cs="Calibri" w:eastAsia="Calibri" w:hAnsi="Calibri"/>
          <w:sz w:val="21"/>
          <w:szCs w:val="21"/>
        </w:rPr>
        <w:t xml:space="preserve"> are maintained as required and produced to the Office on request.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Processing activities are reviewed annually and on any material change.</w:t>
      </w:r>
    </w:p>
    <w:p>
      <w:pPr>
        <w:keepNext/>
        <w:spacing w:after="120" w:before="280"/>
        <w:outlineLvl w:val="0"/>
      </w:pPr>
      <w:r>
        <w:rPr>
          <w:rFonts w:ascii="Calibri" w:cs="Calibri" w:eastAsia="Calibri" w:hAnsi="Calibri"/>
          <w:b/>
          <w:bCs/>
          <w:color w:val="14161B"/>
          <w:sz w:val="22"/>
          <w:szCs w:val="22"/>
        </w:rPr>
        <w:t xml:space="preserve">6. TRANSFERS OUT OF ADGM</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Personal data may be transferred out of ADGM where the destination is on </w:t>
      </w:r>
      <w:r>
        <w:rPr>
          <w:rFonts w:ascii="Calibri" w:cs="Calibri" w:eastAsia="Calibri" w:hAnsi="Calibri"/>
          <w:b/>
          <w:bCs/>
          <w:sz w:val="21"/>
          <w:szCs w:val="21"/>
        </w:rPr>
        <w:t xml:space="preserve">ADGM’s list of adequate jurisdictions</w:t>
      </w:r>
      <w:r>
        <w:rPr>
          <w:rFonts w:ascii="Calibri" w:cs="Calibri" w:eastAsia="Calibri" w:hAnsi="Calibri"/>
          <w:sz w:val="21"/>
          <w:szCs w:val="21"/>
        </w:rPr>
        <w:t xml:space="preserve">, where appropriate safeguards are in place, or where a derogation applies.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b/>
          <w:bCs/>
          <w:sz w:val="21"/>
          <w:szCs w:val="21"/>
        </w:rPr>
        <w:t xml:space="preserve">ADGM maintains its own adequacy list. It is not the DIFC list and not a federal list.</w:t>
      </w:r>
      <w:r>
        <w:rPr>
          <w:rFonts w:ascii="Calibri" w:cs="Calibri" w:eastAsia="Calibri" w:hAnsi="Calibri"/>
          <w:sz w:val="21"/>
          <w:szCs w:val="21"/>
        </w:rPr>
        <w:t xml:space="preserve"> Check the ADGM list for each destination and record the date checked.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Transfers to a </w:t>
      </w:r>
      <w:r>
        <w:rPr>
          <w:rFonts w:ascii="Calibri" w:cs="Calibri" w:eastAsia="Calibri" w:hAnsi="Calibri"/>
          <w:b/>
          <w:bCs/>
          <w:sz w:val="21"/>
          <w:szCs w:val="21"/>
        </w:rPr>
        <w:t xml:space="preserve">UAE mainland</w:t>
      </w:r>
      <w:r>
        <w:rPr>
          <w:rFonts w:ascii="Calibri" w:cs="Calibri" w:eastAsia="Calibri" w:hAnsi="Calibri"/>
          <w:sz w:val="21"/>
          <w:szCs w:val="21"/>
        </w:rPr>
        <w:t xml:space="preserve"> affiliate, service provider or bank must be assessed — do not assume that being within the UAE removes the question.</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 register of transfers, destinations and safeguards relied on is maintained.</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i/>
          <w:iCs/>
          <w:sz w:val="21"/>
          <w:szCs w:val="21"/>
        </w:rPr>
        <w:t xml:space="preserve">Groups running an ADGM entity alongside mainland or DIFC entities are moving data between three regimes. Each flow is assessed under the rules of the exporting jurisdiction, and the answers differ.</w:t>
      </w:r>
    </w:p>
    <w:p>
      <w:pPr>
        <w:keepNext/>
        <w:spacing w:after="120" w:before="280"/>
        <w:outlineLvl w:val="0"/>
      </w:pPr>
      <w:r>
        <w:rPr>
          <w:rFonts w:ascii="Calibri" w:cs="Calibri" w:eastAsia="Calibri" w:hAnsi="Calibri"/>
          <w:b/>
          <w:bCs/>
          <w:color w:val="14161B"/>
          <w:sz w:val="22"/>
          <w:szCs w:val="22"/>
        </w:rPr>
        <w:t xml:space="preserve">7. SECURITY AND BREACH</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Technical and organisational measures appropriate to the risk are applied, including access control, encryption where appropriate, resilience and regular testing.</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Any suspected breach must be reported </w:t>
      </w:r>
      <w:r>
        <w:rPr>
          <w:rFonts w:ascii="Calibri" w:cs="Calibri" w:eastAsia="Calibri" w:hAnsi="Calibri"/>
          <w:b/>
          <w:bCs/>
          <w:sz w:val="21"/>
          <w:szCs w:val="21"/>
        </w:rPr>
        <w:t xml:space="preserve">immediately</w:t>
      </w:r>
      <w:r>
        <w:rPr>
          <w:rFonts w:ascii="Calibri" w:cs="Calibri" w:eastAsia="Calibri" w:hAnsi="Calibri"/>
          <w:sz w:val="21"/>
          <w:szCs w:val="21"/>
        </w:rPr>
        <w:t xml:space="preserve"> to </w:t>
      </w:r>
      <w:r>
        <w:rPr>
          <w:rFonts w:ascii="Calibri" w:cs="Calibri" w:eastAsia="Calibri" w:hAnsi="Calibri"/>
          <w:b/>
          <w:bCs/>
          <w:sz w:val="21"/>
          <w:szCs w:val="21"/>
        </w:rPr>
        <w:t xml:space="preserve">[NAME]</w:t>
      </w:r>
      <w:r>
        <w:rPr>
          <w:rFonts w:ascii="Calibri" w:cs="Calibri" w:eastAsia="Calibri" w:hAnsi="Calibri"/>
          <w:sz w:val="21"/>
          <w:szCs w:val="21"/>
        </w:rPr>
        <w:t xml:space="preserve"> at </w:t>
      </w:r>
      <w:r>
        <w:rPr>
          <w:rFonts w:ascii="Calibri" w:cs="Calibri" w:eastAsia="Calibri" w:hAnsi="Calibri"/>
          <w:b/>
          <w:bCs/>
          <w:sz w:val="21"/>
          <w:szCs w:val="21"/>
        </w:rPr>
        <w:t xml:space="preserve">[EMAIL]</w:t>
      </w:r>
      <w:r>
        <w:rPr>
          <w:rFonts w:ascii="Calibri" w:cs="Calibri" w:eastAsia="Calibri" w:hAnsi="Calibri"/>
          <w:sz w:val="21"/>
          <w:szCs w:val="21"/>
        </w:rPr>
        <w:t xml:space="preserve"> and </w:t>
      </w:r>
      <w:r>
        <w:rPr>
          <w:rFonts w:ascii="Calibri" w:cs="Calibri" w:eastAsia="Calibri" w:hAnsi="Calibri"/>
          <w:b/>
          <w:bCs/>
          <w:sz w:val="21"/>
          <w:szCs w:val="21"/>
        </w:rPr>
        <w:t xml:space="preserve">[PHONE]</w:t>
      </w:r>
      <w:r>
        <w:rPr>
          <w:rFonts w:ascii="Calibri" w:cs="Calibri" w:eastAsia="Calibri" w:hAnsi="Calibri"/>
          <w:sz w:val="21"/>
          <w:szCs w:val="21"/>
        </w:rPr>
        <w:t xml:space="preserve">. </w:t>
      </w:r>
      <w:r>
        <w:rPr>
          <w:rFonts w:ascii="Calibri" w:cs="Calibri" w:eastAsia="Calibri" w:hAnsi="Calibri"/>
          <w:b/>
          <w:bCs/>
          <w:sz w:val="21"/>
          <w:szCs w:val="21"/>
        </w:rPr>
        <w:t xml:space="preserve">Do not attempt to assess or resolve it first.</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Where a breach meets the notification threshold, the Company notifies the </w:t>
      </w:r>
      <w:r>
        <w:rPr>
          <w:rFonts w:ascii="Calibri" w:cs="Calibri" w:eastAsia="Calibri" w:hAnsi="Calibri"/>
          <w:b/>
          <w:bCs/>
          <w:sz w:val="21"/>
          <w:szCs w:val="21"/>
        </w:rPr>
        <w:t xml:space="preserve">ADGM Office of Data Protection</w:t>
      </w:r>
      <w:r>
        <w:rPr>
          <w:rFonts w:ascii="Calibri" w:cs="Calibri" w:eastAsia="Calibri" w:hAnsi="Calibri"/>
          <w:sz w:val="21"/>
          <w:szCs w:val="21"/>
        </w:rPr>
        <w:t xml:space="preserve"> within the period the Regulations require, and notifies affected individuals where there is a high risk to them.</w:t>
      </w:r>
    </w:p>
    <w:p>
      <w:pPr>
        <w:spacing w:after="120" w:before="60" w:line="276"/>
        <w:ind w:left="720" w:hanging="720"/>
        <w:jc w:val="both"/>
      </w:pPr>
      <w:r>
        <w:rPr>
          <w:rFonts w:ascii="Calibri" w:cs="Calibri" w:eastAsia="Calibri" w:hAnsi="Calibri"/>
          <w:sz w:val="21"/>
          <w:szCs w:val="21"/>
        </w:rPr>
        <w:t xml:space="preserve">7.4	</w:t>
      </w:r>
      <w:r>
        <w:rPr>
          <w:rFonts w:ascii="Calibri" w:cs="Calibri" w:eastAsia="Calibri" w:hAnsi="Calibri"/>
          <w:sz w:val="21"/>
          <w:szCs w:val="21"/>
        </w:rPr>
        <w:t xml:space="preserve">A breach register is maintained recording every incident, the assessment, the determination and the reasoning — </w:t>
      </w:r>
      <w:r>
        <w:rPr>
          <w:rFonts w:ascii="Calibri" w:cs="Calibri" w:eastAsia="Calibri" w:hAnsi="Calibri"/>
          <w:b/>
          <w:bCs/>
          <w:sz w:val="21"/>
          <w:szCs w:val="21"/>
        </w:rPr>
        <w:t xml:space="preserve">including incidents determined not notifiable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8. PROCESSORS</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Where a processor acts for the Company, a written contract requires processing only on documented instructions, confidentiality, appropriate security, no sub-processor without authorisation, assistance with rights and breach obligations, and return or deletion on termination.</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Company remains accountable for processing carried out on its behalf and maintains a register of processors and sub-processors.</w:t>
      </w:r>
    </w:p>
    <w:p>
      <w:pPr>
        <w:spacing w:after="18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p>
            <w:pPr>
              <w:spacing w:after="90" w:line="264"/>
            </w:pP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ADGM Compliance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7517"/>
        <w:gridCol w:w="1640"/>
      </w:tblGrid>
      <w:tr>
        <w:trPr>
          <w:cantSplit/>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751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Item</w:t>
            </w:r>
          </w:p>
        </w:tc>
        <w:tc>
          <w:tcPr>
            <w:tcW w:type="dxa" w:w="164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Entity confirmed as ADGM-registered and this regime confirmed applicable</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 of processing complete for every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Lawful basis recorded per activity</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Legitimate interests assessments carried out and retained where relied on</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Special category data identified and an additional condition met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High risk processing assessed; DPO appointed where required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Notification or registration with the ADGM Office current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Impact assessments carried out for high risk processing</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Privacy notices issued to customers, employees and applicants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Transfers assessed against the ADGM adequacy list</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Transfers to mainland or DIFC affiliates documented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Processor contracts contain the required terms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response plan documented and tested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register maintained including non-notifiable incidents</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Retention schedule set and applied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r>
        <w:trPr>
          <w:cantSplit/>
        </w:trP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751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Staff training delivered and recorded</w:t>
            </w:r>
          </w:p>
        </w:tc>
        <w:tc>
          <w:tcPr>
            <w:tcW w:type="dxa" w:w="164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ADGM is its own regime — not federal, not DIFC</w:t>
      </w:r>
    </w:p>
    <w:p>
      <w:pPr>
        <w:spacing w:after="60" w:line="264"/>
        <w:jc w:val="both"/>
      </w:pPr>
      <w:r>
        <w:rPr>
          <w:rFonts w:ascii="Calibri" w:cs="Calibri" w:eastAsia="Calibri" w:hAnsi="Calibri"/>
          <w:sz w:val="19"/>
          <w:szCs w:val="19"/>
        </w:rPr>
        <w:t xml:space="preserve">The Data Protection Regulations 2021 apply to ADGM entities, administered by the ADGM Office of Data Protection. Applying a federal PDPL policy or a DIFC policy produces a document citing the wrong law, the wrong regulator and the wrong complaint route. The two financial free zones are not interchangeable.</w:t>
      </w:r>
    </w:p>
    <w:p>
      <w:pPr>
        <w:keepNext/>
        <w:spacing w:after="40" w:before="140"/>
      </w:pPr>
      <w:r>
        <w:rPr>
          <w:rFonts w:ascii="Calibri" w:cs="Calibri" w:eastAsia="Calibri" w:hAnsi="Calibri"/>
          <w:b/>
          <w:bCs/>
          <w:color w:val="14161B"/>
          <w:sz w:val="20"/>
          <w:szCs w:val="20"/>
        </w:rPr>
        <w:t xml:space="preserve">ADGM maintains its own adequacy list</w:t>
      </w:r>
    </w:p>
    <w:p>
      <w:pPr>
        <w:spacing w:after="60" w:line="264"/>
        <w:jc w:val="both"/>
      </w:pPr>
      <w:r>
        <w:rPr>
          <w:rFonts w:ascii="Calibri" w:cs="Calibri" w:eastAsia="Calibri" w:hAnsi="Calibri"/>
          <w:sz w:val="19"/>
          <w:szCs w:val="19"/>
        </w:rPr>
        <w:t xml:space="preserve">It is not the DIFC list and not a federal position. A destination acceptable for a DIFC transfer is not automatically acceptable for an ADGM one. Check the ADGM list specifically and record the date checked, because lists change.</w:t>
      </w:r>
    </w:p>
    <w:p>
      <w:pPr>
        <w:keepNext/>
        <w:spacing w:after="40" w:before="140"/>
      </w:pPr>
      <w:r>
        <w:rPr>
          <w:rFonts w:ascii="Calibri" w:cs="Calibri" w:eastAsia="Calibri" w:hAnsi="Calibri"/>
          <w:b/>
          <w:bCs/>
          <w:color w:val="14161B"/>
          <w:sz w:val="20"/>
          <w:szCs w:val="20"/>
        </w:rPr>
        <w:t xml:space="preserve">Assess mainland transfers explicitly</w:t>
      </w:r>
    </w:p>
    <w:p>
      <w:pPr>
        <w:spacing w:after="60" w:line="264"/>
        <w:jc w:val="both"/>
      </w:pPr>
      <w:r>
        <w:rPr>
          <w:rFonts w:ascii="Calibri" w:cs="Calibri" w:eastAsia="Calibri" w:hAnsi="Calibri"/>
          <w:sz w:val="19"/>
          <w:szCs w:val="19"/>
        </w:rPr>
        <w:t xml:space="preserve">Sending personal data from an ADGM entity to a mainland affiliate, service provider or bank is a transfer out of ADGM and needs assessing. Being within the UAE does not make it domestic for these purposes — the same trap that catches DIFC entities.</w:t>
      </w:r>
    </w:p>
    <w:p>
      <w:pPr>
        <w:keepNext/>
        <w:spacing w:after="40" w:before="140"/>
      </w:pPr>
      <w:r>
        <w:rPr>
          <w:rFonts w:ascii="Calibri" w:cs="Calibri" w:eastAsia="Calibri" w:hAnsi="Calibri"/>
          <w:b/>
          <w:bCs/>
          <w:color w:val="14161B"/>
          <w:sz w:val="20"/>
          <w:szCs w:val="20"/>
        </w:rPr>
        <w:t xml:space="preserve">A three-regime group is running three analyses</w:t>
      </w:r>
    </w:p>
    <w:p>
      <w:pPr>
        <w:spacing w:after="60" w:line="264"/>
        <w:jc w:val="both"/>
      </w:pPr>
      <w:r>
        <w:rPr>
          <w:rFonts w:ascii="Calibri" w:cs="Calibri" w:eastAsia="Calibri" w:hAnsi="Calibri"/>
          <w:sz w:val="19"/>
          <w:szCs w:val="19"/>
        </w:rPr>
        <w:t xml:space="preserve">Where a group has mainland, DIFC and ADGM entities, each flow is assessed under the rules of the exporting jurisdiction, and the answers differ. Shared HR and finance systems across such a group need this mapped rather than assumed.</w:t>
      </w:r>
    </w:p>
    <w:p>
      <w:pPr>
        <w:keepNext/>
        <w:spacing w:after="40" w:before="140"/>
      </w:pPr>
      <w:r>
        <w:rPr>
          <w:rFonts w:ascii="Calibri" w:cs="Calibri" w:eastAsia="Calibri" w:hAnsi="Calibri"/>
          <w:b/>
          <w:bCs/>
          <w:color w:val="14161B"/>
          <w:sz w:val="20"/>
          <w:szCs w:val="20"/>
        </w:rPr>
        <w:t xml:space="preserve">Legitimate interests is available here</w:t>
      </w:r>
    </w:p>
    <w:p>
      <w:pPr>
        <w:spacing w:after="60" w:line="264"/>
        <w:jc w:val="both"/>
      </w:pPr>
      <w:r>
        <w:rPr>
          <w:rFonts w:ascii="Calibri" w:cs="Calibri" w:eastAsia="Calibri" w:hAnsi="Calibri"/>
          <w:sz w:val="19"/>
          <w:szCs w:val="19"/>
        </w:rPr>
        <w:t xml:space="preserve">Like DIFC and unlike the federal regime, ADGM recognises legitimate interests as a lawful basis — with a documented balancing assessment. That assessment supports the ADGM entity only; a mainland affiliate needs its own analysis under the federal law.</w:t>
      </w:r>
    </w:p>
    <w:p>
      <w:pPr>
        <w:keepNext/>
        <w:spacing w:after="40" w:before="140"/>
      </w:pPr>
      <w:r>
        <w:rPr>
          <w:rFonts w:ascii="Calibri" w:cs="Calibri" w:eastAsia="Calibri" w:hAnsi="Calibri"/>
          <w:b/>
          <w:bCs/>
          <w:color w:val="14161B"/>
          <w:sz w:val="20"/>
          <w:szCs w:val="20"/>
        </w:rPr>
        <w:t xml:space="preserve">Confirm the registration or notification requirement</w:t>
      </w:r>
    </w:p>
    <w:p>
      <w:pPr>
        <w:spacing w:after="60" w:line="264"/>
        <w:jc w:val="both"/>
      </w:pPr>
      <w:r>
        <w:rPr>
          <w:rFonts w:ascii="Calibri" w:cs="Calibri" w:eastAsia="Calibri" w:hAnsi="Calibri"/>
          <w:sz w:val="19"/>
          <w:szCs w:val="19"/>
        </w:rPr>
        <w:t xml:space="preserve">ADGM has operated notification and registration requirements for entities processing personal data, and the detail including any fee has been subject to change. Confirm the current position with the Office rather than relying on an earlier understanding.</w:t>
      </w:r>
    </w:p>
    <w:p>
      <w:pPr>
        <w:keepNext/>
        <w:spacing w:after="40" w:before="140"/>
      </w:pPr>
      <w:r>
        <w:rPr>
          <w:rFonts w:ascii="Calibri" w:cs="Calibri" w:eastAsia="Calibri" w:hAnsi="Calibri"/>
          <w:b/>
          <w:bCs/>
          <w:color w:val="14161B"/>
          <w:sz w:val="20"/>
          <w:szCs w:val="20"/>
        </w:rPr>
        <w:t xml:space="preserve">DPO appointment turns on high risk processing</w:t>
      </w:r>
    </w:p>
    <w:p>
      <w:pPr>
        <w:spacing w:after="60" w:line="264"/>
        <w:jc w:val="both"/>
      </w:pPr>
      <w:r>
        <w:rPr>
          <w:rFonts w:ascii="Calibri" w:cs="Calibri" w:eastAsia="Calibri" w:hAnsi="Calibri"/>
          <w:sz w:val="19"/>
          <w:szCs w:val="19"/>
        </w:rPr>
        <w:t xml:space="preserve">The trigger is the nature of the processing, not headcount — large-scale special category processing, systematic monitoring, automated evaluation with significant effects. Where in doubt, appoint and notify.</w:t>
      </w:r>
    </w:p>
    <w:p>
      <w:pPr>
        <w:keepNext/>
        <w:spacing w:after="40" w:before="140"/>
      </w:pPr>
      <w:r>
        <w:rPr>
          <w:rFonts w:ascii="Calibri" w:cs="Calibri" w:eastAsia="Calibri" w:hAnsi="Calibri"/>
          <w:b/>
          <w:bCs/>
          <w:color w:val="14161B"/>
          <w:sz w:val="20"/>
          <w:szCs w:val="20"/>
        </w:rPr>
        <w:t xml:space="preserve">Direct application of English law sits behind the regime</w:t>
      </w:r>
    </w:p>
    <w:p>
      <w:pPr>
        <w:spacing w:after="60" w:line="264"/>
        <w:jc w:val="both"/>
      </w:pPr>
      <w:r>
        <w:rPr>
          <w:rFonts w:ascii="Calibri" w:cs="Calibri" w:eastAsia="Calibri" w:hAnsi="Calibri"/>
          <w:sz w:val="19"/>
          <w:szCs w:val="19"/>
        </w:rPr>
        <w:t xml:space="preserve">ADGM applies English common law directly, which shapes how the Regulations are interpreted and how disputes are handled in the ADGM Courts. That is an advantage for organisations familiar with English-law data protection concepts.</w:t>
      </w:r>
    </w:p>
    <w:p>
      <w:pPr>
        <w:keepNext/>
        <w:spacing w:after="40" w:before="140"/>
      </w:pPr>
      <w:r>
        <w:rPr>
          <w:rFonts w:ascii="Calibri" w:cs="Calibri" w:eastAsia="Calibri" w:hAnsi="Calibri"/>
          <w:b/>
          <w:bCs/>
          <w:color w:val="14161B"/>
          <w:sz w:val="20"/>
          <w:szCs w:val="20"/>
        </w:rPr>
        <w:t xml:space="preserve">Report breaches first, assess second</w:t>
      </w:r>
    </w:p>
    <w:p>
      <w:pPr>
        <w:spacing w:after="60" w:line="264"/>
        <w:jc w:val="both"/>
      </w:pPr>
      <w:r>
        <w:rPr>
          <w:rFonts w:ascii="Calibri" w:cs="Calibri" w:eastAsia="Calibri" w:hAnsi="Calibri"/>
          <w:sz w:val="19"/>
          <w:szCs w:val="19"/>
        </w:rPr>
        <w:t xml:space="preserve">Staff must report immediately without attempting to assess or resolve. The most damaging delays come from a well-intentioned attempt to fix something quietly, which loses containment time and destroys the logs needed to establish scope.</w:t>
      </w:r>
    </w:p>
    <w:p>
      <w:pPr>
        <w:keepNext/>
        <w:spacing w:after="40" w:before="140"/>
      </w:pPr>
      <w:r>
        <w:rPr>
          <w:rFonts w:ascii="Calibri" w:cs="Calibri" w:eastAsia="Calibri" w:hAnsi="Calibri"/>
          <w:b/>
          <w:bCs/>
          <w:color w:val="14161B"/>
          <w:sz w:val="20"/>
          <w:szCs w:val="20"/>
        </w:rPr>
        <w:t xml:space="preserve">Record why a breach was not notified</w:t>
      </w:r>
    </w:p>
    <w:p>
      <w:pPr>
        <w:spacing w:after="60" w:line="264"/>
        <w:jc w:val="both"/>
      </w:pPr>
      <w:r>
        <w:rPr>
          <w:rFonts w:ascii="Calibri" w:cs="Calibri" w:eastAsia="Calibri" w:hAnsi="Calibri"/>
          <w:sz w:val="19"/>
          <w:szCs w:val="19"/>
        </w:rPr>
        <w:t xml:space="preserve">Entities log notified breaches and record nothing about those assessed and dismissed. If challenged, an absent record is indistinguishable from no assessment. Log the reasoning either way.</w:t>
      </w:r>
    </w:p>
    <w:p>
      <w:pPr>
        <w:keepNext/>
        <w:spacing w:after="40" w:before="140"/>
      </w:pPr>
      <w:r>
        <w:rPr>
          <w:rFonts w:ascii="Calibri" w:cs="Calibri" w:eastAsia="Calibri" w:hAnsi="Calibri"/>
          <w:b/>
          <w:bCs/>
          <w:color w:val="14161B"/>
          <w:sz w:val="20"/>
          <w:szCs w:val="20"/>
        </w:rPr>
        <w:t xml:space="preserve">Direct marketing objections are absolute</w:t>
      </w:r>
    </w:p>
    <w:p>
      <w:pPr>
        <w:spacing w:after="60" w:line="264"/>
        <w:jc w:val="both"/>
      </w:pPr>
      <w:r>
        <w:rPr>
          <w:rFonts w:ascii="Calibri" w:cs="Calibri" w:eastAsia="Calibri" w:hAnsi="Calibri"/>
          <w:sz w:val="19"/>
          <w:szCs w:val="19"/>
        </w:rPr>
        <w:t xml:space="preserve">An objection to direct marketing must be honoured without a balancing exercise. Suppression lists need to be central and applied across every channel and campaign.</w:t>
      </w:r>
    </w:p>
    <w:p>
      <w:pPr>
        <w:keepNext/>
        <w:spacing w:after="40" w:before="140"/>
      </w:pPr>
      <w:r>
        <w:rPr>
          <w:rFonts w:ascii="Calibri" w:cs="Calibri" w:eastAsia="Calibri" w:hAnsi="Calibri"/>
          <w:b/>
          <w:bCs/>
          <w:color w:val="14161B"/>
          <w:sz w:val="20"/>
          <w:szCs w:val="20"/>
        </w:rPr>
        <w:t xml:space="preserve">Portability needs a technical answer</w:t>
      </w:r>
    </w:p>
    <w:p>
      <w:pPr>
        <w:spacing w:after="60" w:line="264"/>
        <w:jc w:val="both"/>
      </w:pPr>
      <w:r>
        <w:rPr>
          <w:rFonts w:ascii="Calibri" w:cs="Calibri" w:eastAsia="Calibri" w:hAnsi="Calibri"/>
          <w:sz w:val="19"/>
          <w:szCs w:val="19"/>
        </w:rPr>
        <w:t xml:space="preserve">Providing data in a structured, machine-readable format on request is a real right. Whether the systems can actually export it is usually discovered at the first request rather than in advance.</w:t>
      </w:r>
    </w:p>
    <w:p>
      <w:pPr>
        <w:keepNext/>
        <w:spacing w:after="40" w:before="140"/>
      </w:pPr>
      <w:r>
        <w:rPr>
          <w:rFonts w:ascii="Calibri" w:cs="Calibri" w:eastAsia="Calibri" w:hAnsi="Calibri"/>
          <w:b/>
          <w:bCs/>
          <w:color w:val="14161B"/>
          <w:sz w:val="20"/>
          <w:szCs w:val="20"/>
        </w:rPr>
        <w:t xml:space="preserve">Employee data is in scope and includes special categories</w:t>
      </w:r>
    </w:p>
    <w:p>
      <w:pPr>
        <w:spacing w:after="60" w:line="264"/>
        <w:jc w:val="both"/>
      </w:pPr>
      <w:r>
        <w:rPr>
          <w:rFonts w:ascii="Calibri" w:cs="Calibri" w:eastAsia="Calibri" w:hAnsi="Calibri"/>
          <w:sz w:val="19"/>
          <w:szCs w:val="19"/>
        </w:rPr>
        <w:t xml:space="preserve">Passport and visa records, medical test results and health insurance data all pass through a UAE employer, and much of it is special category data. Issue an employee privacy notice at onboarding.</w:t>
      </w:r>
    </w:p>
    <w:p>
      <w:pPr>
        <w:keepNext/>
        <w:spacing w:after="40" w:before="140"/>
      </w:pPr>
      <w:r>
        <w:rPr>
          <w:rFonts w:ascii="Calibri" w:cs="Calibri" w:eastAsia="Calibri" w:hAnsi="Calibri"/>
          <w:b/>
          <w:bCs/>
          <w:color w:val="14161B"/>
          <w:sz w:val="20"/>
          <w:szCs w:val="20"/>
        </w:rPr>
        <w:t xml:space="preserve">Review annually and on change</w:t>
      </w:r>
    </w:p>
    <w:p>
      <w:pPr>
        <w:spacing w:after="60" w:line="264"/>
        <w:jc w:val="both"/>
      </w:pPr>
      <w:r>
        <w:rPr>
          <w:rFonts w:ascii="Calibri" w:cs="Calibri" w:eastAsia="Calibri" w:hAnsi="Calibri"/>
          <w:sz w:val="19"/>
          <w:szCs w:val="19"/>
        </w:rPr>
        <w:t xml:space="preserve">A new vendor, a new system, a new group entity or a change to the adequacy list all affect the analysis. Tie the review to those events as well as to the annual cycle.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ADGM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Data Protection Regulations 2021, notification and registration requirements, the adequacy list, response periods and breach notification thresholds all change — confirm the current position with the ADGM Office of Data Protection or an ADGM data protection adviser before relying on this policy.</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2026-08-23T16:28:35.616Z</dcterms:created>
  <dcterms:modified xsi:type="dcterms:W3CDTF">2026-08-23T16:28:35.616Z</dcterms:modified>
</cp:coreProperties>
</file>

<file path=docProps/custom.xml><?xml version="1.0" encoding="utf-8"?>
<Properties xmlns="http://schemas.openxmlformats.org/officeDocument/2006/custom-properties" xmlns:vt="http://schemas.openxmlformats.org/officeDocument/2006/docPropsVTypes"/>
</file>