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WORKPLACE SAFETY AND HEALTH</w:t>
      </w:r>
    </w:p>
    <w:p>
      <w:pPr>
        <w:spacing w:after="260"/>
        <w:jc w:val="center"/>
      </w:pPr>
      <w:r>
        <w:rPr>
          <w:rFonts w:ascii="Calibri" w:cs="Calibri" w:eastAsia="Calibri" w:hAnsi="Calibri"/>
          <w:i/>
          <w:iCs/>
          <w:color w:val="6E7480"/>
          <w:sz w:val="19"/>
          <w:szCs w:val="19"/>
        </w:rPr>
        <w:t xml:space="preserve">Policy and risk assessment</w:t>
      </w:r>
    </w:p>
    <w:p>
      <w:pPr>
        <w:spacing w:after="180" w:before="0" w:line="276"/>
        <w:jc w:val="both"/>
      </w:pPr>
      <w:r>
        <w:rPr>
          <w:rFonts w:ascii="Calibri" w:cs="Calibri" w:eastAsia="Calibri" w:hAnsi="Calibri"/>
          <w:i/>
          <w:iCs/>
          <w:color w:val="6E7480"/>
          <w:sz w:val="21"/>
          <w:szCs w:val="21"/>
        </w:rPr>
        <w:t xml:space="preserve">The Workplace Safety and Health Act places the duty on whoever has control, not only on the employer of the injured person. That means a company can owe duties to a contractor’s staff on its premises, and a principal can owe duties across a supply chain. Directors and senior managers can also be personally liable where an offence occurred with their consent or through their neglect.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Workplaces covered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[ADDRESSES OR SITES]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[Managing Director]</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Safety coordinator or officer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i/>
                <w:iCs/>
                <w:sz w:val="19"/>
                <w:szCs w:val="19"/>
              </w:rPr>
              <w:t xml:space="preserve">appointment may be required depending on sector and size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Risk assessment team leader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aiders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Emergency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least every </w:t>
            </w:r>
            <w:r>
              <w:rPr>
                <w:rFonts w:ascii="Calibri" w:cs="Calibri" w:eastAsia="Calibri" w:hAnsi="Calibri"/>
                <w:b/>
                <w:bCs/>
                <w:sz w:val="19"/>
                <w:szCs w:val="19"/>
              </w:rPr>
              <w:t xml:space="preserve">3 years</w:t>
            </w:r>
            <w:r>
              <w:rPr>
                <w:rFonts w:ascii="Calibri" w:cs="Calibri" w:eastAsia="Calibri" w:hAnsi="Calibri"/>
                <w:sz w:val="19"/>
                <w:szCs w:val="19"/>
              </w:rPr>
              <w:t xml:space="preserve">, after any incident, and on any change to work or equipment</w:t>
            </w:r>
          </w:p>
        </w:tc>
      </w:tr>
    </w:tbl>
    <w:p>
      <w:pPr>
        <w:spacing w:after="180"/>
      </w:pPr>
    </w:p>
    <w:p>
      <w:pPr>
        <w:keepNext/>
        <w:spacing w:after="120" w:before="280"/>
        <w:outlineLvl w:val="0"/>
      </w:pPr>
      <w:r>
        <w:rPr>
          <w:rFonts w:ascii="Calibri" w:cs="Calibri" w:eastAsia="Calibri" w:hAnsi="Calibri"/>
          <w:b/>
          <w:bCs/>
          <w:color w:val="14161B"/>
          <w:sz w:val="22"/>
          <w:szCs w:val="22"/>
        </w:rPr>
        <w:t xml:space="preserve">1. POLICY STATEMENT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is committed to providing a safe and healthy workplace for its employees and for anyone else affected by its work, including contractors, visitors and members of the public.</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will take reasonably practicable measures to ensure safety and health, will identify and control risks at source, and will not treat compliance as a substitute for actually managing risk.</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Safety is a management responsibility. Line managers are accountable for safety in their areas in the same way as for output and cost.</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Every person has the authority to stop work they reasonably believe to be unsafe, </w:t>
      </w:r>
      <w:r>
        <w:rPr>
          <w:rFonts w:ascii="Calibri" w:cs="Calibri" w:eastAsia="Calibri" w:hAnsi="Calibri"/>
          <w:b/>
          <w:bCs/>
          <w:sz w:val="21"/>
          <w:szCs w:val="21"/>
        </w:rPr>
        <w:t xml:space="preserve">without any adverse consequence for doing so</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DUTIES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Who</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Duty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Company as employer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Provide a safe work environment, safe equipment and systems of work, adequate instruction, training and supervision, and necessary welfare facilities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Company as occupier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it controls premises, ensure the premises, means of access and any machinery are safe </w:t>
            </w:r>
            <w:r>
              <w:rPr>
                <w:rFonts w:ascii="Calibri" w:cs="Calibri" w:eastAsia="Calibri" w:hAnsi="Calibri"/>
                <w:b/>
                <w:bCs/>
                <w:sz w:val="18"/>
                <w:szCs w:val="18"/>
              </w:rPr>
              <w:t xml:space="preserve">for everyone working there, including contractors and their personnel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Company as principal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it engages contractors, take reasonably practicable measures to ensure the safety of the contractor’s work and personnel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Directors and senior managers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due diligence. Where an offence by the Company occurred with their consent or connivance, or through their neglect, they may be </w:t>
            </w:r>
            <w:r>
              <w:rPr>
                <w:rFonts w:ascii="Calibri" w:cs="Calibri" w:eastAsia="Calibri" w:hAnsi="Calibri"/>
                <w:b/>
                <w:bCs/>
                <w:sz w:val="18"/>
                <w:szCs w:val="18"/>
              </w:rPr>
              <w:t xml:space="preserve">personally liable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Ensure risk assessments are current for their activities, that controls are applied, and that no one works without the required competence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Every person at work</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Use equipment properly, follow safe systems of work, not endanger themselves or others, not interfere with safety measures, and report hazards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occupier and principal duties are the ones most often overlooked. A company whose own employees are office-based can still owe substantial duties to a maintenance contractor working on its premises.</w:t>
      </w:r>
    </w:p>
    <w:p>
      <w:pPr>
        <w:keepNext/>
        <w:spacing w:after="120" w:before="280"/>
        <w:outlineLvl w:val="0"/>
      </w:pPr>
      <w:r>
        <w:rPr>
          <w:rFonts w:ascii="Calibri" w:cs="Calibri" w:eastAsia="Calibri" w:hAnsi="Calibri"/>
          <w:b/>
          <w:bCs/>
          <w:color w:val="14161B"/>
          <w:sz w:val="22"/>
          <w:szCs w:val="22"/>
        </w:rPr>
        <w:t xml:space="preserve">3. RISK ASSESSMENT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will conduct a risk assessment for </w:t>
      </w:r>
      <w:r>
        <w:rPr>
          <w:rFonts w:ascii="Calibri" w:cs="Calibri" w:eastAsia="Calibri" w:hAnsi="Calibri"/>
          <w:b/>
          <w:bCs/>
          <w:sz w:val="21"/>
          <w:szCs w:val="21"/>
        </w:rPr>
        <w:t xml:space="preserve">every work activity</w:t>
      </w:r>
      <w:r>
        <w:rPr>
          <w:rFonts w:ascii="Calibri" w:cs="Calibri" w:eastAsia="Calibri" w:hAnsi="Calibri"/>
          <w:sz w:val="21"/>
          <w:szCs w:val="21"/>
        </w:rPr>
        <w:t xml:space="preserve">, before work begins.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Risk assessment is a team exercise involving people who actually do the work, not a document prepared in an office.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Assessments will be reviewed at least once every </w:t>
      </w:r>
      <w:r>
        <w:rPr>
          <w:rFonts w:ascii="Calibri" w:cs="Calibri" w:eastAsia="Calibri" w:hAnsi="Calibri"/>
          <w:b/>
          <w:bCs/>
          <w:sz w:val="21"/>
          <w:szCs w:val="21"/>
        </w:rPr>
        <w:t xml:space="preserve">three years</w:t>
      </w:r>
      <w:r>
        <w:rPr>
          <w:rFonts w:ascii="Calibri" w:cs="Calibri" w:eastAsia="Calibri" w:hAnsi="Calibri"/>
          <w:sz w:val="21"/>
          <w:szCs w:val="21"/>
        </w:rPr>
        <w:t xml:space="preserve">, and additionally after any incident or near miss, on any change to the work, equipment, materials or personnel, and where a new hazard is identified.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Controls will be selected in order of effectiveness — the </w:t>
      </w:r>
      <w:r>
        <w:rPr>
          <w:rFonts w:ascii="Calibri" w:cs="Calibri" w:eastAsia="Calibri" w:hAnsi="Calibri"/>
          <w:b/>
          <w:bCs/>
          <w:sz w:val="21"/>
          <w:szCs w:val="21"/>
        </w:rPr>
        <w:t xml:space="preserve">hierarchy of control</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2891"/>
        <w:gridCol w:w="5784"/>
      </w:tblGrid>
      <w:tr>
        <w:trPr>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Order</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w:t>
            </w:r>
          </w:p>
        </w:tc>
        <w:tc>
          <w:tcPr>
            <w:tcW w:type="dxa" w:w="57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Example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Elimination</w:t>
            </w:r>
          </w:p>
        </w:tc>
        <w:tc>
          <w:tcPr>
            <w:tcW w:type="dxa" w:w="57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Remove the hazard entirely — stop using the substance, redesign the task</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Substitution</w:t>
            </w:r>
          </w:p>
        </w:tc>
        <w:tc>
          <w:tcPr>
            <w:tcW w:type="dxa" w:w="57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Replace with something less hazardous</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Engineering controls</w:t>
            </w:r>
          </w:p>
        </w:tc>
        <w:tc>
          <w:tcPr>
            <w:tcW w:type="dxa" w:w="57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Guarding, ventilation, isolation, barriers, mechanical handling</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Administrative controls</w:t>
            </w:r>
          </w:p>
        </w:tc>
        <w:tc>
          <w:tcPr>
            <w:tcW w:type="dxa" w:w="57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Safe work procedures, permits to work, training, rotation, signage</w:t>
            </w:r>
          </w:p>
        </w:tc>
      </w:tr>
      <w:t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Personal protective equipment</w:t>
            </w:r>
          </w:p>
        </w:tc>
        <w:tc>
          <w:tcPr>
            <w:tcW w:type="dxa" w:w="57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Last resort</w:t>
            </w:r>
            <w:r>
              <w:rPr>
                <w:rFonts w:ascii="Calibri" w:cs="Calibri" w:eastAsia="Calibri" w:hAnsi="Calibri"/>
                <w:sz w:val="18"/>
                <w:szCs w:val="18"/>
              </w:rPr>
              <w:t xml:space="preserve">, not the starting point</w:t>
            </w:r>
          </w:p>
        </w:tc>
      </w:tr>
    </w:tbl>
    <w:p>
      <w:pPr>
        <w:spacing w:after="140"/>
      </w:pP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i/>
          <w:iCs/>
          <w:sz w:val="21"/>
          <w:szCs w:val="21"/>
        </w:rPr>
        <w:t xml:space="preserve">Reaching for personal protective equipment first is the most common failure in risk assessment. It protects one person if worn correctly every time, and controls nothing at source.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Assessments will be recorded, approved by </w:t>
      </w:r>
      <w:r>
        <w:rPr>
          <w:rFonts w:ascii="Calibri" w:cs="Calibri" w:eastAsia="Calibri" w:hAnsi="Calibri"/>
          <w:b/>
          <w:bCs/>
          <w:sz w:val="21"/>
          <w:szCs w:val="21"/>
        </w:rPr>
        <w:t xml:space="preserve">[DESIGNATION]</w:t>
      </w:r>
      <w:r>
        <w:rPr>
          <w:rFonts w:ascii="Calibri" w:cs="Calibri" w:eastAsia="Calibri" w:hAnsi="Calibri"/>
          <w:sz w:val="21"/>
          <w:szCs w:val="21"/>
        </w:rPr>
        <w:t xml:space="preserve">, and communicated to everyone who does the work.</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Risk Assessment</w:t>
      </w:r>
    </w:p>
    <w:p>
      <w:pPr>
        <w:spacing w:after="140" w:before="0" w:line="276"/>
        <w:jc w:val="both"/>
      </w:pPr>
      <w:r>
        <w:rPr>
          <w:rFonts w:ascii="Calibri" w:cs="Calibri" w:eastAsia="Calibri" w:hAnsi="Calibri"/>
          <w:sz w:val="21"/>
          <w:szCs w:val="21"/>
        </w:rPr>
        <w:t xml:space="preserve">Activity: </w:t>
      </w:r>
      <w:r>
        <w:rPr>
          <w:rFonts w:ascii="Calibri" w:cs="Calibri" w:eastAsia="Calibri" w:hAnsi="Calibri"/>
          <w:b/>
          <w:bCs/>
          <w:sz w:val="21"/>
          <w:szCs w:val="21"/>
        </w:rPr>
        <w:t xml:space="preserve">[ACTIVITY]</w:t>
      </w:r>
      <w:r>
        <w:rPr>
          <w:rFonts w:ascii="Calibri" w:cs="Calibri" w:eastAsia="Calibri" w:hAnsi="Calibri"/>
          <w:sz w:val="21"/>
          <w:szCs w:val="21"/>
        </w:rPr>
        <w:t xml:space="preserve">  Location: </w:t>
      </w:r>
      <w:r>
        <w:rPr>
          <w:rFonts w:ascii="Calibri" w:cs="Calibri" w:eastAsia="Calibri" w:hAnsi="Calibri"/>
          <w:b/>
          <w:bCs/>
          <w:sz w:val="21"/>
          <w:szCs w:val="21"/>
        </w:rPr>
        <w:t xml:space="preserve">[LOCATION]</w:t>
      </w:r>
      <w:r>
        <w:rPr>
          <w:rFonts w:ascii="Calibri" w:cs="Calibri" w:eastAsia="Calibri" w:hAnsi="Calibri"/>
          <w:sz w:val="21"/>
          <w:szCs w:val="21"/>
        </w:rPr>
        <w:t xml:space="preserve">  Team: </w:t>
      </w:r>
      <w:r>
        <w:rPr>
          <w:rFonts w:ascii="Calibri" w:cs="Calibri" w:eastAsia="Calibri" w:hAnsi="Calibri"/>
          <w:b/>
          <w:bCs/>
          <w:sz w:val="21"/>
          <w:szCs w:val="21"/>
        </w:rPr>
        <w:t xml:space="preserve">[NAMES]</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  Review due: </w:t>
      </w:r>
      <w:r>
        <w:rPr>
          <w:rFonts w:ascii="Calibri" w:cs="Calibri" w:eastAsia="Calibri" w:hAnsi="Calibri"/>
          <w:b/>
          <w:bCs/>
          <w:sz w:val="21"/>
          <w:szCs w:val="21"/>
        </w:rPr>
        <w:t xml:space="preserve">[DATE]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90"/>
        <w:gridCol w:w="1471"/>
        <w:gridCol w:w="1471"/>
        <w:gridCol w:w="1307"/>
        <w:gridCol w:w="2124"/>
        <w:gridCol w:w="490"/>
        <w:gridCol w:w="490"/>
        <w:gridCol w:w="653"/>
        <w:gridCol w:w="2451"/>
        <w:gridCol w:w="490"/>
        <w:gridCol w:w="490"/>
        <w:gridCol w:w="653"/>
        <w:gridCol w:w="1307"/>
        <w:gridCol w:w="1151"/>
      </w:tblGrid>
      <w:tr>
        <w:trPr>
          <w:tblHeader/>
        </w:trPr>
        <w:tc>
          <w:tcPr>
            <w:tcW w:type="dxa" w:w="4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t>
            </w:r>
          </w:p>
        </w:tc>
        <w:tc>
          <w:tcPr>
            <w:tcW w:type="dxa" w:w="1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Task step</w:t>
            </w:r>
          </w:p>
        </w:tc>
        <w:tc>
          <w:tcPr>
            <w:tcW w:type="dxa" w:w="1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Hazard</w:t>
            </w:r>
          </w:p>
        </w:tc>
        <w:tc>
          <w:tcPr>
            <w:tcW w:type="dxa" w:w="13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Who might be harmed</w:t>
            </w:r>
          </w:p>
        </w:tc>
        <w:tc>
          <w:tcPr>
            <w:tcW w:type="dxa" w:w="212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Existing controls</w:t>
            </w:r>
          </w:p>
        </w:tc>
        <w:tc>
          <w:tcPr>
            <w:tcW w:type="dxa" w:w="4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4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w:t>
            </w:r>
          </w:p>
        </w:tc>
        <w:tc>
          <w:tcPr>
            <w:tcW w:type="dxa" w:w="6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RPN</w:t>
            </w:r>
          </w:p>
        </w:tc>
        <w:tc>
          <w:tcPr>
            <w:tcW w:type="dxa" w:w="2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Additional controls (apply the hierarchy)</w:t>
            </w:r>
          </w:p>
        </w:tc>
        <w:tc>
          <w:tcPr>
            <w:tcW w:type="dxa" w:w="4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w:t>
            </w:r>
          </w:p>
        </w:tc>
        <w:tc>
          <w:tcPr>
            <w:tcW w:type="dxa" w:w="4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w:t>
            </w:r>
          </w:p>
        </w:tc>
        <w:tc>
          <w:tcPr>
            <w:tcW w:type="dxa" w:w="6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RPN</w:t>
            </w:r>
          </w:p>
        </w:tc>
        <w:tc>
          <w:tcPr>
            <w:tcW w:type="dxa" w:w="13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Owner</w:t>
            </w:r>
          </w:p>
        </w:tc>
        <w:tc>
          <w:tcPr>
            <w:tcW w:type="dxa" w:w="11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By when</w:t>
            </w:r>
          </w:p>
        </w:tc>
      </w:tr>
      <w:tr>
        <w:tc>
          <w:tcPr>
            <w:tcW w:type="dxa" w:w="490"/>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[HAZARD]</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[CONTROLS]</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24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[ADDITIONAL]</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90"/>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[HAZARD]</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[CONTROLS]</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24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[ADDITIONAL]</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90"/>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3</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[HAZARD]</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[CONTROLS]</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24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[ADDITIONAL]</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r>
        <w:tc>
          <w:tcPr>
            <w:tcW w:type="dxa" w:w="490"/>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4</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[STEP]</w:t>
            </w:r>
          </w:p>
        </w:tc>
        <w:tc>
          <w:tcPr>
            <w:tcW w:type="dxa" w:w="147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[HAZARD]</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[WHO]</w:t>
            </w:r>
          </w:p>
        </w:tc>
        <w:tc>
          <w:tcPr>
            <w:tcW w:type="dxa" w:w="2124"/>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[CONTROLS]</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24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[ADDITIONAL]</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49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[1-5]</w:t>
            </w:r>
          </w:p>
        </w:tc>
        <w:tc>
          <w:tcPr>
            <w:tcW w:type="dxa" w:w="6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[SCORE]</w:t>
            </w:r>
          </w:p>
        </w:tc>
        <w:tc>
          <w:tcPr>
            <w:tcW w:type="dxa" w:w="1307"/>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[NAME]</w:t>
            </w:r>
          </w:p>
        </w:tc>
        <w:tc>
          <w:tcPr>
            <w:tcW w:type="dxa" w:w="1151"/>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[DATE]</w:t>
            </w:r>
          </w:p>
        </w:tc>
      </w:tr>
    </w:tbl>
    <w:p>
      <w:pPr>
        <w:spacing w:after="140"/>
      </w:pPr>
    </w:p>
    <w:p>
      <w:pPr>
        <w:spacing w:after="140" w:before="0" w:line="276"/>
        <w:jc w:val="both"/>
      </w:pPr>
      <w:r>
        <w:rPr>
          <w:rFonts w:ascii="Calibri" w:cs="Calibri" w:eastAsia="Calibri" w:hAnsi="Calibri"/>
          <w:i/>
          <w:iCs/>
          <w:sz w:val="21"/>
          <w:szCs w:val="21"/>
        </w:rPr>
        <w:t xml:space="preserve">S = severity, L = likelihood, each rated 1 to 5. RPN = severity × likelihood. Reassess after additional controls are in place; a residual score above </w:t>
      </w:r>
      <w:r>
        <w:rPr>
          <w:rFonts w:ascii="Calibri" w:cs="Calibri" w:eastAsia="Calibri" w:hAnsi="Calibri"/>
          <w:b/>
          <w:bCs/>
          <w:i/>
          <w:iCs/>
          <w:sz w:val="21"/>
          <w:szCs w:val="21"/>
        </w:rPr>
        <w:t xml:space="preserve">[THRESHOLD]</w:t>
      </w:r>
      <w:r>
        <w:rPr>
          <w:rFonts w:ascii="Calibri" w:cs="Calibri" w:eastAsia="Calibri" w:hAnsi="Calibri"/>
          <w:i/>
          <w:iCs/>
          <w:sz w:val="21"/>
          <w:szCs w:val="21"/>
        </w:rPr>
        <w:t xml:space="preserve"> requires approval by </w:t>
      </w:r>
      <w:r>
        <w:rPr>
          <w:rFonts w:ascii="Calibri" w:cs="Calibri" w:eastAsia="Calibri" w:hAnsi="Calibri"/>
          <w:b/>
          <w:bCs/>
          <w:i/>
          <w:iCs/>
          <w:sz w:val="21"/>
          <w:szCs w:val="21"/>
        </w:rPr>
        <w:t xml:space="preserve">[DESIGNATION]</w:t>
      </w:r>
      <w:r>
        <w:rPr>
          <w:rFonts w:ascii="Calibri" w:cs="Calibri" w:eastAsia="Calibri" w:hAnsi="Calibri"/>
          <w:i/>
          <w:iCs/>
          <w:sz w:val="21"/>
          <w:szCs w:val="21"/>
        </w:rPr>
        <w:t xml:space="preserve"> before work proceeds.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1"/>
        <w:gridCol w:w="4511"/>
        <w:gridCol w:w="3308"/>
        <w:gridCol w:w="2708"/>
      </w:tblGrid>
      <w:tr>
        <w:trPr>
          <w:tblHeader/>
        </w:trPr>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Approval</w:t>
            </w:r>
          </w:p>
        </w:tc>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33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Signature</w:t>
            </w:r>
          </w:p>
        </w:tc>
        <w:tc>
          <w:tcPr>
            <w:tcW w:type="dxa" w:w="27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Assessment team leader</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3308"/>
            <w:tcMar>
              <w:top w:type="dxa" w:w="70"/>
              <w:left w:type="dxa" w:w="100"/>
              <w:bottom w:type="dxa" w:w="70"/>
              <w:right w:type="dxa" w:w="100"/>
            </w:tcMar>
            <w:vAlign w:val="center"/>
          </w:tcPr>
          <w:p>
            <w:pPr>
              <w:spacing w:after="0" w:line="240"/>
              <w:jc w:val="left"/>
            </w:pPr>
          </w:p>
        </w:tc>
        <w:tc>
          <w:tcPr>
            <w:tcW w:type="dxa" w:w="27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Approved by</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r>
              <w:rPr>
                <w:rFonts w:ascii="Calibri" w:cs="Calibri" w:eastAsia="Calibri" w:hAnsi="Calibri"/>
                <w:sz w:val="17"/>
                <w:szCs w:val="17"/>
              </w:rPr>
              <w:t xml:space="preserve">, </w:t>
            </w:r>
            <w:r>
              <w:rPr>
                <w:rFonts w:ascii="Calibri" w:cs="Calibri" w:eastAsia="Calibri" w:hAnsi="Calibri"/>
                <w:b/>
                <w:bCs/>
                <w:sz w:val="17"/>
                <w:szCs w:val="17"/>
              </w:rPr>
              <w:t xml:space="preserve">[DESIGNATION]</w:t>
            </w:r>
          </w:p>
        </w:tc>
        <w:tc>
          <w:tcPr>
            <w:tcW w:type="dxa" w:w="3308"/>
            <w:tcMar>
              <w:top w:type="dxa" w:w="70"/>
              <w:left w:type="dxa" w:w="100"/>
              <w:bottom w:type="dxa" w:w="70"/>
              <w:right w:type="dxa" w:w="100"/>
            </w:tcMar>
            <w:vAlign w:val="center"/>
          </w:tcPr>
          <w:p>
            <w:pPr>
              <w:spacing w:after="0" w:line="240"/>
              <w:jc w:val="left"/>
            </w:pPr>
          </w:p>
        </w:tc>
        <w:tc>
          <w:tcPr>
            <w:tcW w:type="dxa" w:w="27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Communicated to the work team on</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[NAMES]</w:t>
            </w:r>
          </w:p>
        </w:tc>
        <w:tc>
          <w:tcPr>
            <w:tcW w:type="dxa" w:w="3308"/>
            <w:tcMar>
              <w:top w:type="dxa" w:w="70"/>
              <w:left w:type="dxa" w:w="100"/>
              <w:bottom w:type="dxa" w:w="70"/>
              <w:right w:type="dxa" w:w="100"/>
            </w:tcMar>
            <w:vAlign w:val="center"/>
          </w:tcPr>
          <w:p>
            <w:pPr>
              <w:spacing w:after="0" w:line="240"/>
              <w:jc w:val="left"/>
            </w:pPr>
          </w:p>
        </w:tc>
        <w:tc>
          <w:tcPr>
            <w:tcW w:type="dxa" w:w="270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4. CONTRACTORS AND VISITORS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Contractors will be selected with regard to their safety record and competence, not on price alone.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Before work begins the Company will exchange risk information with the contractor, agree who controls which risks, and confirm the contractor’s own risk assessment covers the work.</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Contractor personnel will receive a site induction and will be subject to the same safety rules as employees.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 permit-to-work system will apply to </w:t>
      </w:r>
      <w:r>
        <w:rPr>
          <w:rFonts w:ascii="Calibri" w:cs="Calibri" w:eastAsia="Calibri" w:hAnsi="Calibri"/>
          <w:b/>
          <w:bCs/>
          <w:sz w:val="21"/>
          <w:szCs w:val="21"/>
        </w:rPr>
        <w:t xml:space="preserve">[hot work, work at height, confined space entry, electrical work, lifting operations — specify]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Visitors will be inducted, escorted where appropriate, and provided with any protective equipment required.</w:t>
      </w:r>
    </w:p>
    <w:p>
      <w:pPr>
        <w:keepNext/>
        <w:spacing w:after="120" w:before="280"/>
        <w:outlineLvl w:val="0"/>
      </w:pPr>
      <w:r>
        <w:rPr>
          <w:rFonts w:ascii="Calibri" w:cs="Calibri" w:eastAsia="Calibri" w:hAnsi="Calibri"/>
          <w:b/>
          <w:bCs/>
          <w:color w:val="14161B"/>
          <w:sz w:val="22"/>
          <w:szCs w:val="22"/>
        </w:rPr>
        <w:t xml:space="preserve">5. TRAINING AND COMPETENCE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 person will be permitted to carry out work requiring specific competence without holding it, and records of training and certification will be maintained.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All employees will receive safety induction on joining and refresher training at least </w:t>
      </w:r>
      <w:r>
        <w:rPr>
          <w:rFonts w:ascii="Calibri" w:cs="Calibri" w:eastAsia="Calibri" w:hAnsi="Calibri"/>
          <w:b/>
          <w:bCs/>
          <w:sz w:val="21"/>
          <w:szCs w:val="21"/>
        </w:rPr>
        <w:t xml:space="preserve">[annually]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an employee’s first language is not English, safety information and training will be provided in a language they understand. </w:t>
      </w:r>
      <w:r>
        <w:rPr>
          <w:rFonts w:ascii="Calibri" w:cs="Calibri" w:eastAsia="Calibri" w:hAnsi="Calibri"/>
          <w:i/>
          <w:iCs/>
          <w:sz w:val="21"/>
          <w:szCs w:val="21"/>
        </w:rPr>
        <w:t xml:space="preserve">This is not a courtesy — instruction that is not understood is not instruction.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Adequate numbers of trained first aiders will be maintained and their names displayed.</w:t>
      </w:r>
    </w:p>
    <w:p>
      <w:pPr>
        <w:keepNext/>
        <w:spacing w:after="120" w:before="280"/>
        <w:outlineLvl w:val="0"/>
      </w:pPr>
      <w:r>
        <w:rPr>
          <w:rFonts w:ascii="Calibri" w:cs="Calibri" w:eastAsia="Calibri" w:hAnsi="Calibri"/>
          <w:b/>
          <w:bCs/>
          <w:color w:val="14161B"/>
          <w:sz w:val="22"/>
          <w:szCs w:val="22"/>
        </w:rPr>
        <w:t xml:space="preserve">6. EMERGENCY PREPAREDNESS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Emergency procedures covering </w:t>
      </w:r>
      <w:r>
        <w:rPr>
          <w:rFonts w:ascii="Calibri" w:cs="Calibri" w:eastAsia="Calibri" w:hAnsi="Calibri"/>
          <w:b/>
          <w:bCs/>
          <w:sz w:val="21"/>
          <w:szCs w:val="21"/>
        </w:rPr>
        <w:t xml:space="preserve">[fire, evacuation, medical emergency, chemical spill, power failure — specify]</w:t>
      </w:r>
      <w:r>
        <w:rPr>
          <w:rFonts w:ascii="Calibri" w:cs="Calibri" w:eastAsia="Calibri" w:hAnsi="Calibri"/>
          <w:sz w:val="21"/>
          <w:szCs w:val="21"/>
        </w:rPr>
        <w:t xml:space="preserve"> will be documented and displayed.</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Evacuation drills will be held at least </w:t>
      </w:r>
      <w:r>
        <w:rPr>
          <w:rFonts w:ascii="Calibri" w:cs="Calibri" w:eastAsia="Calibri" w:hAnsi="Calibri"/>
          <w:b/>
          <w:bCs/>
          <w:sz w:val="21"/>
          <w:szCs w:val="21"/>
        </w:rPr>
        <w:t xml:space="preserve">[annually]</w:t>
      </w:r>
      <w:r>
        <w:rPr>
          <w:rFonts w:ascii="Calibri" w:cs="Calibri" w:eastAsia="Calibri" w:hAnsi="Calibri"/>
          <w:sz w:val="21"/>
          <w:szCs w:val="21"/>
        </w:rPr>
        <w:t xml:space="preserve"> and recorded, with lessons acted on.</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First aid facilities, firefighting equipment and emergency exits will be inspected </w:t>
      </w:r>
      <w:r>
        <w:rPr>
          <w:rFonts w:ascii="Calibri" w:cs="Calibri" w:eastAsia="Calibri" w:hAnsi="Calibri"/>
          <w:b/>
          <w:bCs/>
          <w:sz w:val="21"/>
          <w:szCs w:val="21"/>
        </w:rPr>
        <w:t xml:space="preserve">[monthly]</w:t>
      </w:r>
      <w:r>
        <w:rPr>
          <w:rFonts w:ascii="Calibri" w:cs="Calibri" w:eastAsia="Calibri" w:hAnsi="Calibri"/>
          <w:sz w:val="21"/>
          <w:szCs w:val="21"/>
        </w:rPr>
        <w:t xml:space="preserve"> and kept unobstructed.</w:t>
      </w:r>
    </w:p>
    <w:p>
      <w:pPr>
        <w:keepNext/>
        <w:spacing w:after="120" w:before="280"/>
        <w:outlineLvl w:val="0"/>
      </w:pPr>
      <w:r>
        <w:rPr>
          <w:rFonts w:ascii="Calibri" w:cs="Calibri" w:eastAsia="Calibri" w:hAnsi="Calibri"/>
          <w:b/>
          <w:bCs/>
          <w:color w:val="14161B"/>
          <w:sz w:val="22"/>
          <w:szCs w:val="22"/>
        </w:rPr>
        <w:t xml:space="preserve">7. REPORTING, INVESTIGATION AND REVIEW</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Every accident, injury, near miss, dangerous occurrence and occupational illness will be reported internally the same day, and to the authority where reportable.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Incidents will be investigated to establish the cause and prevent recurrence. </w:t>
      </w:r>
      <w:r>
        <w:rPr>
          <w:rFonts w:ascii="Calibri" w:cs="Calibri" w:eastAsia="Calibri" w:hAnsi="Calibri"/>
          <w:b/>
          <w:bCs/>
          <w:sz w:val="21"/>
          <w:szCs w:val="21"/>
        </w:rPr>
        <w:t xml:space="preserve">Investigations look for causes, not culprits.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No person will be treated adversely for reporting a hazard, a near miss or an incident, or for stopping unsafe work.</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The Company will review safety performance at management level at least </w:t>
      </w:r>
      <w:r>
        <w:rPr>
          <w:rFonts w:ascii="Calibri" w:cs="Calibri" w:eastAsia="Calibri" w:hAnsi="Calibri"/>
          <w:b/>
          <w:bCs/>
          <w:sz w:val="21"/>
          <w:szCs w:val="21"/>
        </w:rPr>
        <w:t xml:space="preserve">[quarterly]</w:t>
      </w:r>
      <w:r>
        <w:rPr>
          <w:rFonts w:ascii="Calibri" w:cs="Calibri" w:eastAsia="Calibri" w:hAnsi="Calibri"/>
          <w:sz w:val="21"/>
          <w:szCs w:val="21"/>
        </w:rPr>
        <w:t xml:space="preserve">, considering incidents, near misses, audit findings and outstanding actions.</w:t>
      </w:r>
    </w:p>
    <w:p>
      <w:pPr>
        <w:keepNext/>
        <w:spacing w:after="120" w:before="280"/>
        <w:outlineLvl w:val="0"/>
      </w:pPr>
      <w:r>
        <w:rPr>
          <w:rFonts w:ascii="Calibri" w:cs="Calibri" w:eastAsia="Calibri" w:hAnsi="Calibri"/>
          <w:b/>
          <w:bCs/>
          <w:color w:val="14161B"/>
          <w:sz w:val="22"/>
          <w:szCs w:val="22"/>
        </w:rPr>
        <w:t xml:space="preserve">8. HEALTH</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the work involves exposure to a hazard requiring it, statutory medical examinations will be arranged and the results acted on.</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will address health risks including noise, ergonomics, chemical exposure, heat stress and, where relevant, mental health and fatigue.</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Where an employee’s health affects their ability to work safely, the Company will consider reasonable adjustments in consultation with the employee.</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[Managing Director]</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Safety Management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1927"/>
        <w:gridCol w:w="1252"/>
        <w:gridCol w:w="144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Frequency</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Owner</w:t>
            </w:r>
          </w:p>
        </w:tc>
        <w:tc>
          <w:tcPr>
            <w:tcW w:type="dxa" w:w="14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Last 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 assessments in place for every work activity</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work; review every 3 years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Risk assessments reviewed after every incident or change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Event-driven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Safe work procedures documented and accessible at the point of work</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and competence records current for all who need them</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Safety information provided in languages the workforce understands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Contractor safety assessed before engagement; risk information exchanged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engagement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Permit-to-work system operating for high-risk activities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Each occasion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Equipment inspection and maintenance records current</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schedule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Emergency equipment inspected; exits unobstructed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Evacuation drill held and lessons recorded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Accident and near-miss register maintained and reviewed for patterns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Reportable incidents reported to the authority within the period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Event-driven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injury compensation insurance in force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medical examinations arranged where required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schedule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Management safety review held and actions tracked to closure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Quarterly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Safety policy reviewed and reissued</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Annually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duty follows control, not the employment contract</w:t>
      </w:r>
    </w:p>
    <w:p>
      <w:pPr>
        <w:spacing w:after="60" w:line="264"/>
        <w:jc w:val="both"/>
      </w:pPr>
      <w:r>
        <w:rPr>
          <w:rFonts w:ascii="Calibri" w:cs="Calibri" w:eastAsia="Calibri" w:hAnsi="Calibri"/>
          <w:sz w:val="19"/>
          <w:szCs w:val="19"/>
        </w:rPr>
        <w:t xml:space="preserve">The Act imposes duties on employers, occupiers, principals, manufacturers and others by reference to who has control. A company whose own staff are office-based still owes duties to contractors working on its premises, and a principal engaging contractors owes duties as to their work. This is the aspect most often missed by employers who assume safety law applies only to their own payroll.</w:t>
      </w:r>
    </w:p>
    <w:p>
      <w:pPr>
        <w:keepNext/>
        <w:spacing w:after="40" w:before="140"/>
      </w:pPr>
      <w:r>
        <w:rPr>
          <w:rFonts w:ascii="Calibri" w:cs="Calibri" w:eastAsia="Calibri" w:hAnsi="Calibri"/>
          <w:b/>
          <w:bCs/>
          <w:color w:val="14161B"/>
          <w:sz w:val="20"/>
          <w:szCs w:val="20"/>
        </w:rPr>
        <w:t xml:space="preserve">Directors can be personally liable</w:t>
      </w:r>
    </w:p>
    <w:p>
      <w:pPr>
        <w:spacing w:after="60" w:line="264"/>
        <w:jc w:val="both"/>
      </w:pPr>
      <w:r>
        <w:rPr>
          <w:rFonts w:ascii="Calibri" w:cs="Calibri" w:eastAsia="Calibri" w:hAnsi="Calibri"/>
          <w:sz w:val="19"/>
          <w:szCs w:val="19"/>
        </w:rPr>
        <w:t xml:space="preserve">Where an offence by the company is proved to have occurred with the consent or connivance of a director or senior manager, or to be attributable to their neglect, that individual can be personally liable. Safety therefore belongs on the board agenda, evidenced by the quarterly review in Clause 7.4, not delegated and forgotten.</w:t>
      </w:r>
    </w:p>
    <w:p>
      <w:pPr>
        <w:keepNext/>
        <w:spacing w:after="40" w:before="140"/>
      </w:pPr>
      <w:r>
        <w:rPr>
          <w:rFonts w:ascii="Calibri" w:cs="Calibri" w:eastAsia="Calibri" w:hAnsi="Calibri"/>
          <w:b/>
          <w:bCs/>
          <w:color w:val="14161B"/>
          <w:sz w:val="20"/>
          <w:szCs w:val="20"/>
        </w:rPr>
        <w:t xml:space="preserve">Risk assessment is mandatory and must involve the people doing the work</w:t>
      </w:r>
    </w:p>
    <w:p>
      <w:pPr>
        <w:spacing w:after="60" w:line="264"/>
        <w:jc w:val="both"/>
      </w:pPr>
      <w:r>
        <w:rPr>
          <w:rFonts w:ascii="Calibri" w:cs="Calibri" w:eastAsia="Calibri" w:hAnsi="Calibri"/>
          <w:sz w:val="19"/>
          <w:szCs w:val="19"/>
        </w:rPr>
        <w:t xml:space="preserve">Assessments prepared by a consultant or a manager without input from those who actually perform the task consistently miss the practical hazards — the shortcut everyone takes, the guard that gets removed because it slows the job. Clause 3.2 requires a team including the workers.</w:t>
      </w:r>
    </w:p>
    <w:p>
      <w:pPr>
        <w:keepNext/>
        <w:spacing w:after="40" w:before="140"/>
      </w:pPr>
      <w:r>
        <w:rPr>
          <w:rFonts w:ascii="Calibri" w:cs="Calibri" w:eastAsia="Calibri" w:hAnsi="Calibri"/>
          <w:b/>
          <w:bCs/>
          <w:color w:val="14161B"/>
          <w:sz w:val="20"/>
          <w:szCs w:val="20"/>
        </w:rPr>
        <w:t xml:space="preserve">Apply the hierarchy, do not start with protective equipment</w:t>
      </w:r>
    </w:p>
    <w:p>
      <w:pPr>
        <w:spacing w:after="60" w:line="264"/>
        <w:jc w:val="both"/>
      </w:pPr>
      <w:r>
        <w:rPr>
          <w:rFonts w:ascii="Calibri" w:cs="Calibri" w:eastAsia="Calibri" w:hAnsi="Calibri"/>
          <w:sz w:val="19"/>
          <w:szCs w:val="19"/>
        </w:rPr>
        <w:t xml:space="preserve">Personal protective equipment is the last resort in the hierarchy because it controls nothing at source and depends on correct use every single time. A risk assessment whose additional controls are all protective equipment has not been done properly. Elimination and engineering controls are what actually reduce risk.</w:t>
      </w:r>
    </w:p>
    <w:p>
      <w:pPr>
        <w:keepNext/>
        <w:spacing w:after="40" w:before="140"/>
      </w:pPr>
      <w:r>
        <w:rPr>
          <w:rFonts w:ascii="Calibri" w:cs="Calibri" w:eastAsia="Calibri" w:hAnsi="Calibri"/>
          <w:b/>
          <w:bCs/>
          <w:color w:val="14161B"/>
          <w:sz w:val="20"/>
          <w:szCs w:val="20"/>
        </w:rPr>
        <w:t xml:space="preserve">Review after every incident, not only every three years</w:t>
      </w:r>
    </w:p>
    <w:p>
      <w:pPr>
        <w:spacing w:after="60" w:line="264"/>
        <w:jc w:val="both"/>
      </w:pPr>
      <w:r>
        <w:rPr>
          <w:rFonts w:ascii="Calibri" w:cs="Calibri" w:eastAsia="Calibri" w:hAnsi="Calibri"/>
          <w:sz w:val="19"/>
          <w:szCs w:val="19"/>
        </w:rPr>
        <w:t xml:space="preserve">The three-year cycle is a maximum. Any incident, near miss, change to equipment, change to materials, or change of personnel should trigger a review. An assessment that has not been touched since it was written, in an operation that has changed, is a document rather than a control.</w:t>
      </w:r>
    </w:p>
    <w:p>
      <w:pPr>
        <w:keepNext/>
        <w:spacing w:after="40" w:before="140"/>
      </w:pPr>
      <w:r>
        <w:rPr>
          <w:rFonts w:ascii="Calibri" w:cs="Calibri" w:eastAsia="Calibri" w:hAnsi="Calibri"/>
          <w:b/>
          <w:bCs/>
          <w:color w:val="14161B"/>
          <w:sz w:val="20"/>
          <w:szCs w:val="20"/>
        </w:rPr>
        <w:t xml:space="preserve">Language is a safety issue</w:t>
      </w:r>
    </w:p>
    <w:p>
      <w:pPr>
        <w:spacing w:after="60" w:line="264"/>
        <w:jc w:val="both"/>
      </w:pPr>
      <w:r>
        <w:rPr>
          <w:rFonts w:ascii="Calibri" w:cs="Calibri" w:eastAsia="Calibri" w:hAnsi="Calibri"/>
          <w:sz w:val="19"/>
          <w:szCs w:val="19"/>
        </w:rPr>
        <w:t xml:space="preserve">Where part of the workforce does not read English fluently, safety instruction in English alone does not discharge the duty. This matters particularly where the workforce includes work permit holders. Clause 5.3 states it plainly — instruction that is not understood is not instruction.</w:t>
      </w:r>
    </w:p>
    <w:p>
      <w:pPr>
        <w:keepNext/>
        <w:spacing w:after="40" w:before="140"/>
      </w:pPr>
      <w:r>
        <w:rPr>
          <w:rFonts w:ascii="Calibri" w:cs="Calibri" w:eastAsia="Calibri" w:hAnsi="Calibri"/>
          <w:b/>
          <w:bCs/>
          <w:color w:val="14161B"/>
          <w:sz w:val="20"/>
          <w:szCs w:val="20"/>
        </w:rPr>
        <w:t xml:space="preserve">Contractor selection on price alone is a false economy</w:t>
      </w:r>
    </w:p>
    <w:p>
      <w:pPr>
        <w:spacing w:after="60" w:line="264"/>
        <w:jc w:val="both"/>
      </w:pPr>
      <w:r>
        <w:rPr>
          <w:rFonts w:ascii="Calibri" w:cs="Calibri" w:eastAsia="Calibri" w:hAnsi="Calibri"/>
          <w:sz w:val="19"/>
          <w:szCs w:val="19"/>
        </w:rPr>
        <w:t xml:space="preserve">The cheapest contractor is frequently the one without competent supervision or its own risk assessment, and the occupier or principal carries duties for their work regardless. Assess safety capability before engagement, exchange risk information, and agree who controls what.</w:t>
      </w:r>
    </w:p>
    <w:p>
      <w:pPr>
        <w:keepNext/>
        <w:spacing w:after="40" w:before="140"/>
      </w:pPr>
      <w:r>
        <w:rPr>
          <w:rFonts w:ascii="Calibri" w:cs="Calibri" w:eastAsia="Calibri" w:hAnsi="Calibri"/>
          <w:b/>
          <w:bCs/>
          <w:color w:val="14161B"/>
          <w:sz w:val="20"/>
          <w:szCs w:val="20"/>
        </w:rPr>
        <w:t xml:space="preserve">Near misses are free information</w:t>
      </w:r>
    </w:p>
    <w:p>
      <w:pPr>
        <w:spacing w:after="60" w:line="264"/>
        <w:jc w:val="both"/>
      </w:pPr>
      <w:r>
        <w:rPr>
          <w:rFonts w:ascii="Calibri" w:cs="Calibri" w:eastAsia="Calibri" w:hAnsi="Calibri"/>
          <w:sz w:val="19"/>
          <w:szCs w:val="19"/>
        </w:rPr>
        <w:t xml:space="preserve">An organisation that records only injuries is learning only from incidents that already cost something. Near-miss reporting is the leading indicator, and it only works where reporting is genuinely without consequence — which is why Clause 7.3 protects it explicitly.</w:t>
      </w:r>
    </w:p>
    <w:p>
      <w:pPr>
        <w:keepNext/>
        <w:spacing w:after="40" w:before="140"/>
      </w:pPr>
      <w:r>
        <w:rPr>
          <w:rFonts w:ascii="Calibri" w:cs="Calibri" w:eastAsia="Calibri" w:hAnsi="Calibri"/>
          <w:b/>
          <w:bCs/>
          <w:color w:val="14161B"/>
          <w:sz w:val="20"/>
          <w:szCs w:val="20"/>
        </w:rPr>
        <w:t xml:space="preserve">Investigate causes, not culprits</w:t>
      </w:r>
    </w:p>
    <w:p>
      <w:pPr>
        <w:spacing w:after="60" w:line="264"/>
        <w:jc w:val="both"/>
      </w:pPr>
      <w:r>
        <w:rPr>
          <w:rFonts w:ascii="Calibri" w:cs="Calibri" w:eastAsia="Calibri" w:hAnsi="Calibri"/>
          <w:sz w:val="19"/>
          <w:szCs w:val="19"/>
        </w:rPr>
        <w:t xml:space="preserve">An investigation that concludes the worker was careless produces no change and no protection. Because work injury compensation is a no-fault regime, establishing employee fault also achieves nothing legally. Ask what allowed the incident to be possible.</w:t>
      </w:r>
    </w:p>
    <w:p>
      <w:pPr>
        <w:keepNext/>
        <w:spacing w:after="40" w:before="140"/>
      </w:pPr>
      <w:r>
        <w:rPr>
          <w:rFonts w:ascii="Calibri" w:cs="Calibri" w:eastAsia="Calibri" w:hAnsi="Calibri"/>
          <w:b/>
          <w:bCs/>
          <w:color w:val="14161B"/>
          <w:sz w:val="20"/>
          <w:szCs w:val="20"/>
        </w:rPr>
        <w:t xml:space="preserve">Stop-work authority must be real</w:t>
      </w:r>
    </w:p>
    <w:p>
      <w:pPr>
        <w:spacing w:after="60" w:line="264"/>
        <w:jc w:val="both"/>
      </w:pPr>
      <w:r>
        <w:rPr>
          <w:rFonts w:ascii="Calibri" w:cs="Calibri" w:eastAsia="Calibri" w:hAnsi="Calibri"/>
          <w:sz w:val="19"/>
          <w:szCs w:val="19"/>
        </w:rPr>
        <w:t xml:space="preserve">Clause 1.4 gives everyone the right to stop unsafe work without consequence. It is meaningless unless a worker who uses it is supported rather than questioned. The first time someone stops a job and is treated badly, nobody stops a job again.</w:t>
      </w:r>
    </w:p>
    <w:p>
      <w:pPr>
        <w:keepNext/>
        <w:spacing w:after="40" w:before="140"/>
      </w:pPr>
      <w:r>
        <w:rPr>
          <w:rFonts w:ascii="Calibri" w:cs="Calibri" w:eastAsia="Calibri" w:hAnsi="Calibri"/>
          <w:b/>
          <w:bCs/>
          <w:color w:val="14161B"/>
          <w:sz w:val="20"/>
          <w:szCs w:val="20"/>
        </w:rPr>
        <w:t xml:space="preserve">Some sectors and sizes need appointed safety personnel</w:t>
      </w:r>
    </w:p>
    <w:p>
      <w:pPr>
        <w:spacing w:after="60" w:line="264"/>
        <w:jc w:val="both"/>
      </w:pPr>
      <w:r>
        <w:rPr>
          <w:rFonts w:ascii="Calibri" w:cs="Calibri" w:eastAsia="Calibri" w:hAnsi="Calibri"/>
          <w:sz w:val="19"/>
          <w:szCs w:val="19"/>
        </w:rPr>
        <w:t xml:space="preserve">Requirements to appoint a workplace safety and health officer or coordinator, and to establish a safety committee, depend on sector, workplace type and headcount. Confirm what applies rather than assuming an office-based business is outside them entirely.</w:t>
      </w:r>
    </w:p>
    <w:p>
      <w:pPr>
        <w:keepNext/>
        <w:spacing w:after="40" w:before="140"/>
      </w:pPr>
      <w:r>
        <w:rPr>
          <w:rFonts w:ascii="Calibri" w:cs="Calibri" w:eastAsia="Calibri" w:hAnsi="Calibri"/>
          <w:b/>
          <w:bCs/>
          <w:color w:val="14161B"/>
          <w:sz w:val="20"/>
          <w:szCs w:val="20"/>
        </w:rPr>
        <w:t xml:space="preserve">Health hazards are slower and easier to ignore</w:t>
      </w:r>
    </w:p>
    <w:p>
      <w:pPr>
        <w:spacing w:after="60" w:line="264"/>
        <w:jc w:val="both"/>
      </w:pPr>
      <w:r>
        <w:rPr>
          <w:rFonts w:ascii="Calibri" w:cs="Calibri" w:eastAsia="Calibri" w:hAnsi="Calibri"/>
          <w:sz w:val="19"/>
          <w:szCs w:val="19"/>
        </w:rPr>
        <w:t xml:space="preserve">Noise, ergonomics, chemical exposure, heat and fatigue produce harm over years rather than in a moment, so they generate no incident to react to. Statutory medical examinations exist for some of these; the rest depend on the assessment picking them up.</w:t>
      </w:r>
    </w:p>
    <w:p>
      <w:pPr>
        <w:keepNext/>
        <w:spacing w:after="40" w:before="140"/>
      </w:pPr>
      <w:r>
        <w:rPr>
          <w:rFonts w:ascii="Calibri" w:cs="Calibri" w:eastAsia="Calibri" w:hAnsi="Calibri"/>
          <w:b/>
          <w:bCs/>
          <w:color w:val="14161B"/>
          <w:sz w:val="20"/>
          <w:szCs w:val="20"/>
        </w:rPr>
        <w:t xml:space="preserve">Permit to work for the high-risk activities</w:t>
      </w:r>
    </w:p>
    <w:p>
      <w:pPr>
        <w:spacing w:after="60" w:line="264"/>
        <w:jc w:val="both"/>
      </w:pPr>
      <w:r>
        <w:rPr>
          <w:rFonts w:ascii="Calibri" w:cs="Calibri" w:eastAsia="Calibri" w:hAnsi="Calibri"/>
          <w:sz w:val="19"/>
          <w:szCs w:val="19"/>
        </w:rPr>
        <w:t xml:space="preserve">Hot work, work at height, confined space entry, electrical isolation and lifting operations account for a disproportionate share of serious injuries. A permit system forces a check before each occasion rather than relying on a standing procedure.</w:t>
      </w:r>
    </w:p>
    <w:p>
      <w:pPr>
        <w:keepNext/>
        <w:spacing w:after="40" w:before="140"/>
      </w:pPr>
      <w:r>
        <w:rPr>
          <w:rFonts w:ascii="Calibri" w:cs="Calibri" w:eastAsia="Calibri" w:hAnsi="Calibri"/>
          <w:b/>
          <w:bCs/>
          <w:color w:val="14161B"/>
          <w:sz w:val="20"/>
          <w:szCs w:val="20"/>
        </w:rPr>
        <w:t xml:space="preserve">Keep the register and read it</w:t>
      </w:r>
    </w:p>
    <w:p>
      <w:pPr>
        <w:spacing w:after="60" w:line="264"/>
        <w:jc w:val="both"/>
      </w:pPr>
      <w:r>
        <w:rPr>
          <w:rFonts w:ascii="Calibri" w:cs="Calibri" w:eastAsia="Calibri" w:hAnsi="Calibri"/>
          <w:sz w:val="19"/>
          <w:szCs w:val="19"/>
        </w:rPr>
        <w:t xml:space="preserve">The accident and near-miss register is only useful if someone reviews it for patterns — repeated incidents at one location, on one shift, with one type of equipment. Item 11 makes that monthly, because individual incident closure conceals the pattern.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on risk assessment, appointed safety personnel, reportable incidents, statutory medical examinations and sector-specific regulations all change — confirm what applies to your workplace with the Ministry of Manpower, and take specialist advice for construction, marine shipyard, process or any operation involving hazardous substances.</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2026-08-22T06:55:29.836Z</dcterms:created>
  <dcterms:modified xsi:type="dcterms:W3CDTF">2026-08-22T06:55:29.836Z</dcterms:modified>
</cp:coreProperties>
</file>

<file path=docProps/custom.xml><?xml version="1.0" encoding="utf-8"?>
<Properties xmlns="http://schemas.openxmlformats.org/officeDocument/2006/custom-properties" xmlns:vt="http://schemas.openxmlformats.org/officeDocument/2006/docPropsVTypes"/>
</file>