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WORKPLACE FAIRNESS AND GRIEVANCE POLICY</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The Workplace Fairness Act moves fairness from tripartite guidance to enforceable law, with a grievance procedure that employers of a certain size must have, a claims route to the Employment Claims Tribunal, and civil penalties. It is expected to commence at the end of 2027. The sensible course is to build the process now and use the intervening period to make it work, rather than to draft it the week before.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and to applicants for employment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in Singapore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i/>
                <w:iCs/>
                <w:sz w:val="19"/>
                <w:szCs w:val="19"/>
              </w:rPr>
              <w:t xml:space="preserve">(the Act applies to employers of 25 or more in its first phase)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Grievance contact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Alternative contact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commencement of the Workplace Fairness Act</w:t>
            </w:r>
          </w:p>
        </w:tc>
      </w:tr>
    </w:tbl>
    <w:p>
      <w:pPr>
        <w:spacing w:after="180"/>
      </w:pPr>
    </w:p>
    <w:p>
      <w:pPr>
        <w:keepNext/>
        <w:spacing w:after="120" w:before="280"/>
        <w:outlineLvl w:val="0"/>
      </w:pPr>
      <w:r>
        <w:rPr>
          <w:rFonts w:ascii="Calibri" w:cs="Calibri" w:eastAsia="Calibri" w:hAnsi="Calibri"/>
          <w:b/>
          <w:bCs/>
          <w:color w:val="14161B"/>
          <w:sz w:val="22"/>
          <w:szCs w:val="22"/>
        </w:rPr>
        <w:t xml:space="preserve">1. COMMITMENT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makes employment decisions on merit — on the skills, experience, performance and potential relevant to the role.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does not make an adverse employment decision on the ground of a protected characteristic, at any stage of employment: recruitment and hiring, terms offered, training, assignment, appraisal, promotion, remuneration, discipline, redeployment, retrenchment, re-employment or dismissal.</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will not tolerate retaliation against any person who raises a concern in good faith, assists an inquiry, or gives evidence.</w:t>
      </w:r>
    </w:p>
    <w:p>
      <w:pPr>
        <w:keepNext/>
        <w:spacing w:after="120" w:before="280"/>
        <w:outlineLvl w:val="0"/>
      </w:pPr>
      <w:r>
        <w:rPr>
          <w:rFonts w:ascii="Calibri" w:cs="Calibri" w:eastAsia="Calibri" w:hAnsi="Calibri"/>
          <w:b/>
          <w:bCs/>
          <w:color w:val="14161B"/>
          <w:sz w:val="22"/>
          <w:szCs w:val="22"/>
        </w:rPr>
        <w:t xml:space="preserve">2. PROTECTED CHARACTERISTICS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Group</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Characteristics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Nationality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Nationality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Sex and family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Sex; marital status; pregnancy status, including past, current or intended pregnancy; caregiving responsibilities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Race, religion and language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Race; religion; language ability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Health and disability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Disability; mental health condition</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policy applies to decisions based on a protected characteristic whether the reliance is direct or indirect, and whether or not it was intended.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Company also does not tolerate unfair treatment on any other ground unrelated to merit. Where conduct falls outside the protected characteristics, it will be dealt with under this policy or the code of conduct with equivalent seriousness, and the person will be told which process applies.</w:t>
      </w:r>
    </w:p>
    <w:p>
      <w:pPr>
        <w:keepNext/>
        <w:spacing w:after="120" w:before="280"/>
        <w:outlineLvl w:val="0"/>
      </w:pPr>
      <w:r>
        <w:rPr>
          <w:rFonts w:ascii="Calibri" w:cs="Calibri" w:eastAsia="Calibri" w:hAnsi="Calibri"/>
          <w:b/>
          <w:bCs/>
          <w:color w:val="14161B"/>
          <w:sz w:val="22"/>
          <w:szCs w:val="22"/>
        </w:rPr>
        <w:t xml:space="preserve">3. WHERE DIFFERENT TREATMENT IS PERMITTED</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law recognises limited circumstances in which a characteristic may properly be taken into account, including where it is a genuine and reasonable requirement of the job, and certain religious or other specified exceptions.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Any decision relying on such an exception must be approved in advance by </w:t>
      </w:r>
      <w:r>
        <w:rPr>
          <w:rFonts w:ascii="Calibri" w:cs="Calibri" w:eastAsia="Calibri" w:hAnsi="Calibri"/>
          <w:b/>
          <w:bCs/>
          <w:sz w:val="21"/>
          <w:szCs w:val="21"/>
        </w:rPr>
        <w:t xml:space="preserve">[DESIGNATION]</w:t>
      </w:r>
      <w:r>
        <w:rPr>
          <w:rFonts w:ascii="Calibri" w:cs="Calibri" w:eastAsia="Calibri" w:hAnsi="Calibri"/>
          <w:sz w:val="21"/>
          <w:szCs w:val="21"/>
        </w:rPr>
        <w:t xml:space="preserve">, and the reasoning recorded. </w:t>
      </w:r>
      <w:r>
        <w:rPr>
          <w:rFonts w:ascii="Calibri" w:cs="Calibri" w:eastAsia="Calibri" w:hAnsi="Calibri"/>
          <w:i/>
          <w:iCs/>
          <w:sz w:val="21"/>
          <w:szCs w:val="21"/>
        </w:rPr>
        <w:t xml:space="preserve">Exceptions are narrow. Do not treat a preference as a requirement.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Measures to support employees with disabilities or health conditions, including reasonable adjustments, are not adverse treatment of others.</w:t>
      </w:r>
    </w:p>
    <w:p>
      <w:pPr>
        <w:keepNext/>
        <w:spacing w:after="120" w:before="280"/>
        <w:outlineLvl w:val="0"/>
      </w:pPr>
      <w:r>
        <w:rPr>
          <w:rFonts w:ascii="Calibri" w:cs="Calibri" w:eastAsia="Calibri" w:hAnsi="Calibri"/>
          <w:b/>
          <w:bCs/>
          <w:color w:val="14161B"/>
          <w:sz w:val="22"/>
          <w:szCs w:val="22"/>
        </w:rPr>
        <w:t xml:space="preserve">4. FAIR RECRUITMENT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Job advertisements will state the skills and experience required and will not refer to a protected characteristic unless an approved exception applies.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will observe the Fair Consideration Framework, including advertising on the national jobs portal where required and fairly considering Singapore citizens, before applying for an Employment Pass.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Selection criteria will be set before candidates are assessed, applied consistently, and recorded.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Interview questions will relate to the requirements of the role. Questions about marital status, family plans, pregnancy, caregiving arrangements, religion or age should not be asked.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Recruitment records, including advertisements, criteria, shortlists, interview notes and the reason for the decision, will be retained for </w:t>
      </w:r>
      <w:r>
        <w:rPr>
          <w:rFonts w:ascii="Calibri" w:cs="Calibri" w:eastAsia="Calibri" w:hAnsi="Calibri"/>
          <w:b/>
          <w:bCs/>
          <w:sz w:val="21"/>
          <w:szCs w:val="21"/>
        </w:rPr>
        <w:t xml:space="preserve">[NUMBER]</w:t>
      </w:r>
      <w:r>
        <w:rPr>
          <w:rFonts w:ascii="Calibri" w:cs="Calibri" w:eastAsia="Calibri" w:hAnsi="Calibri"/>
          <w:sz w:val="21"/>
          <w:szCs w:val="21"/>
        </w:rPr>
        <w:t xml:space="preserve"> years.</w:t>
      </w:r>
    </w:p>
    <w:p>
      <w:pPr>
        <w:keepNext/>
        <w:spacing w:after="120" w:before="280"/>
        <w:outlineLvl w:val="0"/>
      </w:pPr>
      <w:r>
        <w:rPr>
          <w:rFonts w:ascii="Calibri" w:cs="Calibri" w:eastAsia="Calibri" w:hAnsi="Calibri"/>
          <w:b/>
          <w:bCs/>
          <w:color w:val="14161B"/>
          <w:sz w:val="22"/>
          <w:szCs w:val="22"/>
        </w:rPr>
        <w:t xml:space="preserve">5. GRIEVANCE PROCEDURE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Any employee or applicant who believes they have experienced discrimination, harassment or unfair treatment may raise a grievance under this procedure.</w:t>
      </w:r>
    </w:p>
    <w:p>
      <w:pPr>
        <w:keepNext/>
        <w:spacing w:after="100" w:before="200"/>
        <w:outlineLvl w:val="1"/>
      </w:pPr>
      <w:r>
        <w:rPr>
          <w:rFonts w:ascii="Calibri" w:cs="Calibri" w:eastAsia="Calibri" w:hAnsi="Calibri"/>
          <w:b/>
          <w:bCs/>
          <w:color w:val="14161B"/>
          <w:sz w:val="21"/>
          <w:szCs w:val="21"/>
        </w:rPr>
        <w:t xml:space="preserve">Step 1 — Informal resolution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Where the person is comfortable doing so, the matter may first be raised with the manager concerned or with the grievance contact, informally. Informal resolution is optional and is never a precondition to raising a formal grievance.</w:t>
      </w:r>
    </w:p>
    <w:p>
      <w:pPr>
        <w:keepNext/>
        <w:spacing w:after="100" w:before="200"/>
        <w:outlineLvl w:val="1"/>
      </w:pPr>
      <w:r>
        <w:rPr>
          <w:rFonts w:ascii="Calibri" w:cs="Calibri" w:eastAsia="Calibri" w:hAnsi="Calibri"/>
          <w:b/>
          <w:bCs/>
          <w:color w:val="14161B"/>
          <w:sz w:val="21"/>
          <w:szCs w:val="21"/>
        </w:rPr>
        <w:t xml:space="preserve">Step 2 — Formal grievance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formal grievance should be made in writing to the grievance contact, or to the alternative contact where the grievance concerns the first. It should describe what happened, when, who was involved, and any witness or document relied 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grievance will be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Step 3 — Inquiry</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Company will inquire into the grievance promptly and fairly. The person inquiring will not be the subject of the grievance, a witness to the events, or someone with a personal interest in the outcome.</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Both the person raising the grievance and any person against whom an allegation is made will be heard, and each may be accompanied by a colleague.</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sz w:val="21"/>
          <w:szCs w:val="21"/>
        </w:rPr>
        <w:t xml:space="preserve">The inquiry will be completed within </w:t>
      </w:r>
      <w:r>
        <w:rPr>
          <w:rFonts w:ascii="Calibri" w:cs="Calibri" w:eastAsia="Calibri" w:hAnsi="Calibri"/>
          <w:b/>
          <w:bCs/>
          <w:sz w:val="21"/>
          <w:szCs w:val="21"/>
        </w:rPr>
        <w:t xml:space="preserve">[30]</w:t>
      </w:r>
      <w:r>
        <w:rPr>
          <w:rFonts w:ascii="Calibri" w:cs="Calibri" w:eastAsia="Calibri" w:hAnsi="Calibri"/>
          <w:b/>
          <w:bCs/>
          <w:sz w:val="21"/>
          <w:szCs w:val="21"/>
        </w:rPr>
        <w:t xml:space="preserve"> working days</w:t>
      </w:r>
      <w:r>
        <w:rPr>
          <w:rFonts w:ascii="Calibri" w:cs="Calibri" w:eastAsia="Calibri" w:hAnsi="Calibri"/>
          <w:sz w:val="21"/>
          <w:szCs w:val="21"/>
        </w:rPr>
        <w:t xml:space="preserve"> where practicable. Where more time is needed, both parties will be told and given a revised date.</w:t>
      </w:r>
    </w:p>
    <w:p>
      <w:pPr>
        <w:keepNext/>
        <w:spacing w:after="100" w:before="200"/>
        <w:outlineLvl w:val="1"/>
      </w:pPr>
      <w:r>
        <w:rPr>
          <w:rFonts w:ascii="Calibri" w:cs="Calibri" w:eastAsia="Calibri" w:hAnsi="Calibri"/>
          <w:b/>
          <w:bCs/>
          <w:color w:val="14161B"/>
          <w:sz w:val="21"/>
          <w:szCs w:val="21"/>
        </w:rPr>
        <w:t xml:space="preserve">Step 4 — Outcome</w:t>
      </w:r>
    </w:p>
    <w:p>
      <w:pPr>
        <w:spacing w:after="120" w:before="60" w:line="276"/>
        <w:ind w:left="720" w:hanging="720"/>
        <w:jc w:val="both"/>
      </w:pPr>
      <w:r>
        <w:rPr>
          <w:rFonts w:ascii="Calibri" w:cs="Calibri" w:eastAsia="Calibri" w:hAnsi="Calibri"/>
          <w:sz w:val="21"/>
          <w:szCs w:val="21"/>
        </w:rPr>
        <w:t xml:space="preserve">5.8	</w:t>
      </w:r>
      <w:r>
        <w:rPr>
          <w:rFonts w:ascii="Calibri" w:cs="Calibri" w:eastAsia="Calibri" w:hAnsi="Calibri"/>
          <w:sz w:val="21"/>
          <w:szCs w:val="21"/>
        </w:rPr>
        <w:t xml:space="preserve">The outcome and the reasons will be communicated in writing to the person who raised the grievance and, so far as appropriate, to any person against whom an allegation was made.</w:t>
      </w:r>
    </w:p>
    <w:p>
      <w:pPr>
        <w:spacing w:after="120" w:before="60" w:line="276"/>
        <w:ind w:left="720" w:hanging="720"/>
        <w:jc w:val="both"/>
      </w:pPr>
      <w:r>
        <w:rPr>
          <w:rFonts w:ascii="Calibri" w:cs="Calibri" w:eastAsia="Calibri" w:hAnsi="Calibri"/>
          <w:sz w:val="21"/>
          <w:szCs w:val="21"/>
        </w:rPr>
        <w:t xml:space="preserve">5.9	</w:t>
      </w:r>
      <w:r>
        <w:rPr>
          <w:rFonts w:ascii="Calibri" w:cs="Calibri" w:eastAsia="Calibri" w:hAnsi="Calibri"/>
          <w:sz w:val="21"/>
          <w:szCs w:val="21"/>
        </w:rPr>
        <w:t xml:space="preserve">Where a grievance is upheld, the Company will take appropriate action, which may include action under the disciplinary procedure, changes to process or practice, training, or a remedy for the person affected.</w:t>
      </w:r>
    </w:p>
    <w:p>
      <w:pPr>
        <w:spacing w:after="120" w:before="60" w:line="276"/>
        <w:ind w:left="720" w:hanging="720"/>
        <w:jc w:val="both"/>
      </w:pPr>
      <w:r>
        <w:rPr>
          <w:rFonts w:ascii="Calibri" w:cs="Calibri" w:eastAsia="Calibri" w:hAnsi="Calibri"/>
          <w:sz w:val="21"/>
          <w:szCs w:val="21"/>
        </w:rPr>
        <w:t xml:space="preserve">5.10	</w:t>
      </w:r>
      <w:r>
        <w:rPr>
          <w:rFonts w:ascii="Calibri" w:cs="Calibri" w:eastAsia="Calibri" w:hAnsi="Calibri"/>
          <w:sz w:val="21"/>
          <w:szCs w:val="21"/>
        </w:rPr>
        <w:t xml:space="preserve">Where a grievance is not upheld, that does not imply it was made in bad faith. </w:t>
      </w:r>
      <w:r>
        <w:rPr>
          <w:rFonts w:ascii="Calibri" w:cs="Calibri" w:eastAsia="Calibri" w:hAnsi="Calibri"/>
          <w:b/>
          <w:bCs/>
          <w:sz w:val="21"/>
          <w:szCs w:val="21"/>
        </w:rPr>
        <w:t xml:space="preserve">A grievance that is not substantiated is not for that reason a false or malicious one, and no action will be taken against a person merely because their concern could not be proved.</w:t>
      </w:r>
    </w:p>
    <w:p>
      <w:pPr>
        <w:keepNext/>
        <w:spacing w:after="100" w:before="200"/>
        <w:outlineLvl w:val="1"/>
      </w:pPr>
      <w:r>
        <w:rPr>
          <w:rFonts w:ascii="Calibri" w:cs="Calibri" w:eastAsia="Calibri" w:hAnsi="Calibri"/>
          <w:b/>
          <w:bCs/>
          <w:color w:val="14161B"/>
          <w:sz w:val="21"/>
          <w:szCs w:val="21"/>
        </w:rPr>
        <w:t xml:space="preserve">Step 5 — Appeal</w:t>
      </w:r>
    </w:p>
    <w:p>
      <w:pPr>
        <w:spacing w:after="120" w:before="60" w:line="276"/>
        <w:ind w:left="720" w:hanging="720"/>
        <w:jc w:val="both"/>
      </w:pPr>
      <w:r>
        <w:rPr>
          <w:rFonts w:ascii="Calibri" w:cs="Calibri" w:eastAsia="Calibri" w:hAnsi="Calibri"/>
          <w:sz w:val="21"/>
          <w:szCs w:val="21"/>
        </w:rPr>
        <w:t xml:space="preserve">5.11	</w:t>
      </w:r>
      <w:r>
        <w:rPr>
          <w:rFonts w:ascii="Calibri" w:cs="Calibri" w:eastAsia="Calibri" w:hAnsi="Calibri"/>
          <w:sz w:val="21"/>
          <w:szCs w:val="21"/>
        </w:rPr>
        <w:t xml:space="preserve">Either party may appeal in writing within </w:t>
      </w:r>
      <w:r>
        <w:rPr>
          <w:rFonts w:ascii="Calibri" w:cs="Calibri" w:eastAsia="Calibri" w:hAnsi="Calibri"/>
          <w:b/>
          <w:bCs/>
          <w:sz w:val="21"/>
          <w:szCs w:val="21"/>
        </w:rPr>
        <w:t xml:space="preserve">[5]</w:t>
      </w:r>
      <w:r>
        <w:rPr>
          <w:rFonts w:ascii="Calibri" w:cs="Calibri" w:eastAsia="Calibri" w:hAnsi="Calibri"/>
          <w:b/>
          <w:bCs/>
          <w:sz w:val="21"/>
          <w:szCs w:val="21"/>
        </w:rPr>
        <w:t xml:space="preserve"> working days</w:t>
      </w:r>
      <w:r>
        <w:rPr>
          <w:rFonts w:ascii="Calibri" w:cs="Calibri" w:eastAsia="Calibri" w:hAnsi="Calibri"/>
          <w:sz w:val="21"/>
          <w:szCs w:val="21"/>
        </w:rPr>
        <w:t xml:space="preserve"> to </w:t>
      </w:r>
      <w:r>
        <w:rPr>
          <w:rFonts w:ascii="Calibri" w:cs="Calibri" w:eastAsia="Calibri" w:hAnsi="Calibri"/>
          <w:b/>
          <w:bCs/>
          <w:sz w:val="21"/>
          <w:szCs w:val="21"/>
        </w:rPr>
        <w:t xml:space="preserve">[DESIGNATION]</w:t>
      </w:r>
      <w:r>
        <w:rPr>
          <w:rFonts w:ascii="Calibri" w:cs="Calibri" w:eastAsia="Calibri" w:hAnsi="Calibri"/>
          <w:sz w:val="21"/>
          <w:szCs w:val="21"/>
        </w:rPr>
        <w:t xml:space="preserve">, who will not have been involved in the original decision.</w:t>
      </w:r>
    </w:p>
    <w:p>
      <w:pPr>
        <w:keepNext/>
        <w:spacing w:after="120" w:before="280"/>
        <w:outlineLvl w:val="0"/>
      </w:pPr>
      <w:r>
        <w:rPr>
          <w:rFonts w:ascii="Calibri" w:cs="Calibri" w:eastAsia="Calibri" w:hAnsi="Calibri"/>
          <w:b/>
          <w:bCs/>
          <w:color w:val="14161B"/>
          <w:sz w:val="22"/>
          <w:szCs w:val="22"/>
        </w:rPr>
        <w:t xml:space="preserve">6. RETALIATION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Retaliation against a person who raises a grievance, assists an inquiry or gives evidence is itself misconduct and will be dealt with under the disciplinary procedure.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Retaliation includes dismissal, demotion, exclusion, withdrawal of opportunities, changes to duties or hours, and less obvious forms such as sustained exclusion from meetings or information.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Any person who believes they have experienced retaliation should report it immediately to the grievance contact, and it will be treated as a fresh grievance.</w:t>
      </w:r>
    </w:p>
    <w:p>
      <w:pPr>
        <w:keepNext/>
        <w:spacing w:after="120" w:before="280"/>
        <w:outlineLvl w:val="0"/>
      </w:pPr>
      <w:r>
        <w:rPr>
          <w:rFonts w:ascii="Calibri" w:cs="Calibri" w:eastAsia="Calibri" w:hAnsi="Calibri"/>
          <w:b/>
          <w:bCs/>
          <w:color w:val="14161B"/>
          <w:sz w:val="22"/>
          <w:szCs w:val="22"/>
        </w:rPr>
        <w:t xml:space="preserve">7. CONFIDENTIALITY AND RECORDS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Grievances will be handled confidentially and information shared only with those who need it to inquire or to act.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Personal data will be handled in accordance with the Personal Data Protection Act 2012.</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Company will maintain a grievance register recording each grievance, the date, the nature, the outcome and the time taken, and will retain grievance records for </w:t>
      </w:r>
      <w:r>
        <w:rPr>
          <w:rFonts w:ascii="Calibri" w:cs="Calibri" w:eastAsia="Calibri" w:hAnsi="Calibri"/>
          <w:b/>
          <w:bCs/>
          <w:sz w:val="21"/>
          <w:szCs w:val="21"/>
        </w:rPr>
        <w:t xml:space="preserve">[NUMBER]</w:t>
      </w:r>
      <w:r>
        <w:rPr>
          <w:rFonts w:ascii="Calibri" w:cs="Calibri" w:eastAsia="Calibri" w:hAnsi="Calibri"/>
          <w:sz w:val="21"/>
          <w:szCs w:val="21"/>
        </w:rPr>
        <w:t xml:space="preserve"> years.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Company will review the register annually for patterns, and will report to </w:t>
      </w:r>
      <w:r>
        <w:rPr>
          <w:rFonts w:ascii="Calibri" w:cs="Calibri" w:eastAsia="Calibri" w:hAnsi="Calibri"/>
          <w:b/>
          <w:bCs/>
          <w:sz w:val="21"/>
          <w:szCs w:val="21"/>
        </w:rPr>
        <w:t xml:space="preserve">[the Board / management]</w:t>
      </w:r>
      <w:r>
        <w:rPr>
          <w:rFonts w:ascii="Calibri" w:cs="Calibri" w:eastAsia="Calibri" w:hAnsi="Calibri"/>
          <w:sz w:val="21"/>
          <w:szCs w:val="21"/>
        </w:rPr>
        <w:t xml:space="preserve"> on volume, themes and outcomes.</w:t>
      </w:r>
    </w:p>
    <w:p>
      <w:pPr>
        <w:keepNext/>
        <w:spacing w:after="120" w:before="280"/>
        <w:outlineLvl w:val="0"/>
      </w:pPr>
      <w:r>
        <w:rPr>
          <w:rFonts w:ascii="Calibri" w:cs="Calibri" w:eastAsia="Calibri" w:hAnsi="Calibri"/>
          <w:b/>
          <w:bCs/>
          <w:color w:val="14161B"/>
          <w:sz w:val="22"/>
          <w:szCs w:val="22"/>
        </w:rPr>
        <w:t xml:space="preserve">8. TRAINING AND COMMUNICATION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All employees will receive this policy at induction and will be notified of any material change.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Managers and those involved in hiring, appraisal and promotion decisions will receive training on fair employment practices and on this procedure.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grievance contacts will be trained in handling grievances, including in recognising retaliation.</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Grievance Form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 and department, or applicant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 details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r>
              <w:rPr>
                <w:rFonts w:ascii="Calibri" w:cs="Calibri" w:eastAsia="Calibri" w:hAnsi="Calibri"/>
                <w:sz w:val="18"/>
                <w:szCs w:val="18"/>
              </w:rPr>
              <w:t xml:space="preserve"> / </w:t>
            </w:r>
            <w:r>
              <w:rPr>
                <w:rFonts w:ascii="Calibri" w:cs="Calibri" w:eastAsia="Calibri" w:hAnsi="Calibri"/>
                <w:b/>
                <w:bCs/>
                <w:sz w:val="18"/>
                <w:szCs w:val="18"/>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of this grievance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Nature of the concern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[Discrimination / Harassment / Unfair treatment / Retaliation / Other]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Protected characteristic engaged,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[Age / Nationality / Sex / Marital status / Pregnancy / Caregiving / Race / Religion / Language / Disability / Mental health / Not applicable]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IN YOUR OWN WORDS — attach additional sheets as needed]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When and where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 AND PLACES]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was involved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 AND ROLES]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Witnesses, if 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Documents or records relied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raised informally already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with whom and when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Outcome sought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WOULD RESOLVE THIS]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adjustment needed to participate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  Ref: </w:t>
            </w:r>
            <w:r>
              <w:rPr>
                <w:rFonts w:ascii="Calibri" w:cs="Calibri" w:eastAsia="Calibri" w:hAnsi="Calibri"/>
                <w:b/>
                <w:bCs/>
                <w:sz w:val="21"/>
                <w:szCs w:val="21"/>
              </w:rPr>
              <w:t xml:space="preserve">[REF]</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Grievance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963"/>
        <w:gridCol w:w="1060"/>
        <w:gridCol w:w="1156"/>
        <w:gridCol w:w="1542"/>
        <w:gridCol w:w="1156"/>
        <w:gridCol w:w="1638"/>
        <w:gridCol w:w="963"/>
        <w:gridCol w:w="77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received</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Nature</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Characteristic</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Inquiry by</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closed</w:t>
            </w:r>
          </w:p>
        </w:tc>
        <w:tc>
          <w:tcPr>
            <w:tcW w:type="dxa" w:w="7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Working 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[CHARACTERISTIC]</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[Upheld / Not upheld / Partly]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[CHARACTERISTIC]</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[CHARACTERISTIC]</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77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[DAYS]</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Readiness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Headcount confirmed against the 25-employee threshold for first-phase application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Grievance procedure documented and communicated to all employees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Named grievance contacts appointed, with an alternative route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Grievance contacts trained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Managers trained on fair employment decisions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advertisements reviewed for references to protected characteristics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Interview question guidance issued to hiring managers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Selection criteria documented for recruitment, promotion and retrenchment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Appraisal process reviewed for consistency and documented reasoning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Recruitment and grievance records retention set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Grievance register in place and reviewed annually for patterns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Fair Consideration Framework advertising process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Policy reviewed against the Act once commenced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Act is passed but not yet in force</w:t>
      </w:r>
    </w:p>
    <w:p>
      <w:pPr>
        <w:spacing w:after="60" w:line="264"/>
        <w:jc w:val="both"/>
      </w:pPr>
      <w:r>
        <w:rPr>
          <w:rFonts w:ascii="Calibri" w:cs="Calibri" w:eastAsia="Calibri" w:hAnsi="Calibri"/>
          <w:sz w:val="19"/>
          <w:szCs w:val="19"/>
        </w:rPr>
        <w:t xml:space="preserve">The Workplace Fairness Act was passed in January 2025 and the accompanying dispute resolution legislation in November 2025. Commencement is expected at the end of 2027, with the first phase applying to employers of 25 or more employees and smaller employers following later. The obligations are therefore known; the date is not yet upon us. Building the process now is straightforward, and doing it under time pressure later is not.</w:t>
      </w:r>
    </w:p>
    <w:p>
      <w:pPr>
        <w:keepNext/>
        <w:spacing w:after="40" w:before="140"/>
      </w:pPr>
      <w:r>
        <w:rPr>
          <w:rFonts w:ascii="Calibri" w:cs="Calibri" w:eastAsia="Calibri" w:hAnsi="Calibri"/>
          <w:b/>
          <w:bCs/>
          <w:color w:val="14161B"/>
          <w:sz w:val="20"/>
          <w:szCs w:val="20"/>
        </w:rPr>
        <w:t xml:space="preserve">Twelve protected characteristics, grouped in five</w:t>
      </w:r>
    </w:p>
    <w:p>
      <w:pPr>
        <w:spacing w:after="60" w:line="264"/>
        <w:jc w:val="both"/>
      </w:pPr>
      <w:r>
        <w:rPr>
          <w:rFonts w:ascii="Calibri" w:cs="Calibri" w:eastAsia="Calibri" w:hAnsi="Calibri"/>
          <w:sz w:val="19"/>
          <w:szCs w:val="19"/>
        </w:rPr>
        <w:t xml:space="preserve">Age; nationality; sex, marital status, pregnancy status and caregiving responsibilities; race, religion and language ability; and disability and mental health conditions. Two are worth noting because they are commonly overlooked in policies drafted for other jurisdictions: </w:t>
      </w:r>
      <w:r>
        <w:rPr>
          <w:rFonts w:ascii="Calibri" w:cs="Calibri" w:eastAsia="Calibri" w:hAnsi="Calibri"/>
          <w:b/>
          <w:bCs/>
          <w:sz w:val="19"/>
          <w:szCs w:val="19"/>
        </w:rPr>
        <w:t xml:space="preserve">caregiving responsibilities</w:t>
      </w:r>
      <w:r>
        <w:rPr>
          <w:rFonts w:ascii="Calibri" w:cs="Calibri" w:eastAsia="Calibri" w:hAnsi="Calibri"/>
          <w:sz w:val="19"/>
          <w:szCs w:val="19"/>
        </w:rPr>
        <w:t xml:space="preserve"> and </w:t>
      </w:r>
      <w:r>
        <w:rPr>
          <w:rFonts w:ascii="Calibri" w:cs="Calibri" w:eastAsia="Calibri" w:hAnsi="Calibri"/>
          <w:b/>
          <w:bCs/>
          <w:sz w:val="19"/>
          <w:szCs w:val="19"/>
        </w:rPr>
        <w:t xml:space="preserve">mental health conditions</w:t>
      </w:r>
      <w:r>
        <w:rPr>
          <w:rFonts w:ascii="Calibri" w:cs="Calibri" w:eastAsia="Calibri" w:hAnsi="Calibri"/>
          <w:sz w:val="19"/>
          <w:szCs w:val="19"/>
        </w:rPr>
        <w:t xml:space="preserve">. Both are frequent grounds for informal disadvantage that nobody records.</w:t>
      </w:r>
    </w:p>
    <w:p>
      <w:pPr>
        <w:keepNext/>
        <w:spacing w:after="40" w:before="140"/>
      </w:pPr>
      <w:r>
        <w:rPr>
          <w:rFonts w:ascii="Calibri" w:cs="Calibri" w:eastAsia="Calibri" w:hAnsi="Calibri"/>
          <w:b/>
          <w:bCs/>
          <w:color w:val="14161B"/>
          <w:sz w:val="20"/>
          <w:szCs w:val="20"/>
        </w:rPr>
        <w:t xml:space="preserve">A grievance procedure will be mandatory</w:t>
      </w:r>
    </w:p>
    <w:p>
      <w:pPr>
        <w:spacing w:after="60" w:line="264"/>
        <w:jc w:val="both"/>
      </w:pPr>
      <w:r>
        <w:rPr>
          <w:rFonts w:ascii="Calibri" w:cs="Calibri" w:eastAsia="Calibri" w:hAnsi="Calibri"/>
          <w:sz w:val="19"/>
          <w:szCs w:val="19"/>
        </w:rPr>
        <w:t xml:space="preserve">Employers within scope must have a grievance handling procedure, communicate it, and act on grievances. A procedure that exists in a handbook but has never been used, has no named contact, and has no register will not satisfy the requirement in substance. Appoint contacts, train them, and keep the register from day one.</w:t>
      </w:r>
    </w:p>
    <w:p>
      <w:pPr>
        <w:keepNext/>
        <w:spacing w:after="40" w:before="140"/>
      </w:pPr>
      <w:r>
        <w:rPr>
          <w:rFonts w:ascii="Calibri" w:cs="Calibri" w:eastAsia="Calibri" w:hAnsi="Calibri"/>
          <w:b/>
          <w:bCs/>
          <w:color w:val="14161B"/>
          <w:sz w:val="20"/>
          <w:szCs w:val="20"/>
        </w:rPr>
        <w:t xml:space="preserve">Provide an alternative route</w:t>
      </w:r>
    </w:p>
    <w:p>
      <w:pPr>
        <w:spacing w:after="60" w:line="264"/>
        <w:jc w:val="both"/>
      </w:pPr>
      <w:r>
        <w:rPr>
          <w:rFonts w:ascii="Calibri" w:cs="Calibri" w:eastAsia="Calibri" w:hAnsi="Calibri"/>
          <w:sz w:val="19"/>
          <w:szCs w:val="19"/>
        </w:rPr>
        <w:t xml:space="preserve">A single named contact fails the moment the grievance concerns that person or their manager. Clause 5.3 and the policy header both require an alternative. This is the most common structural gap in grievance procedures and the easiest to fix.</w:t>
      </w:r>
    </w:p>
    <w:p>
      <w:pPr>
        <w:keepNext/>
        <w:spacing w:after="40" w:before="140"/>
      </w:pPr>
      <w:r>
        <w:rPr>
          <w:rFonts w:ascii="Calibri" w:cs="Calibri" w:eastAsia="Calibri" w:hAnsi="Calibri"/>
          <w:b/>
          <w:bCs/>
          <w:color w:val="14161B"/>
          <w:sz w:val="20"/>
          <w:szCs w:val="20"/>
        </w:rPr>
        <w:t xml:space="preserve">Not substantiated is not the same as false</w:t>
      </w:r>
    </w:p>
    <w:p>
      <w:pPr>
        <w:spacing w:after="60" w:line="264"/>
        <w:jc w:val="both"/>
      </w:pPr>
      <w:r>
        <w:rPr>
          <w:rFonts w:ascii="Calibri" w:cs="Calibri" w:eastAsia="Calibri" w:hAnsi="Calibri"/>
          <w:sz w:val="19"/>
          <w:szCs w:val="19"/>
        </w:rPr>
        <w:t xml:space="preserve">Clause 5.10 states this expressly, and it matters more than it appears. Where employees believe an unproved grievance will be treated as misconduct, genuine concerns stop being raised — which is precisely the outcome the Act exists to prevent. Establishing bad faith requires its own inquiry and its own evidence.</w:t>
      </w:r>
    </w:p>
    <w:p>
      <w:pPr>
        <w:keepNext/>
        <w:spacing w:after="40" w:before="140"/>
      </w:pPr>
      <w:r>
        <w:rPr>
          <w:rFonts w:ascii="Calibri" w:cs="Calibri" w:eastAsia="Calibri" w:hAnsi="Calibri"/>
          <w:b/>
          <w:bCs/>
          <w:color w:val="14161B"/>
          <w:sz w:val="20"/>
          <w:szCs w:val="20"/>
        </w:rPr>
        <w:t xml:space="preserve">Retaliation is the risk that outlasts the grievance</w:t>
      </w:r>
    </w:p>
    <w:p>
      <w:pPr>
        <w:spacing w:after="60" w:line="264"/>
        <w:jc w:val="both"/>
      </w:pPr>
      <w:r>
        <w:rPr>
          <w:rFonts w:ascii="Calibri" w:cs="Calibri" w:eastAsia="Calibri" w:hAnsi="Calibri"/>
          <w:sz w:val="19"/>
          <w:szCs w:val="19"/>
        </w:rPr>
        <w:t xml:space="preserve">Most organisations handle the grievance itself reasonably and then let the person raising it quietly fall out of favour — excluded from meetings, passed over, given narrower work. Clause 6.2 names those forms deliberately. Monitor the treatment of people who have raised grievances for a period afterwards.</w:t>
      </w:r>
    </w:p>
    <w:p>
      <w:pPr>
        <w:keepNext/>
        <w:spacing w:after="40" w:before="140"/>
      </w:pPr>
      <w:r>
        <w:rPr>
          <w:rFonts w:ascii="Calibri" w:cs="Calibri" w:eastAsia="Calibri" w:hAnsi="Calibri"/>
          <w:b/>
          <w:bCs/>
          <w:color w:val="14161B"/>
          <w:sz w:val="20"/>
          <w:szCs w:val="20"/>
        </w:rPr>
        <w:t xml:space="preserve">Claims will go to the Tribunal, with penalties</w:t>
      </w:r>
    </w:p>
    <w:p>
      <w:pPr>
        <w:spacing w:after="60" w:line="264"/>
        <w:jc w:val="both"/>
      </w:pPr>
      <w:r>
        <w:rPr>
          <w:rFonts w:ascii="Calibri" w:cs="Calibri" w:eastAsia="Calibri" w:hAnsi="Calibri"/>
          <w:sz w:val="19"/>
          <w:szCs w:val="19"/>
        </w:rPr>
        <w:t xml:space="preserve">The dispute resolution framework provides a route for individuals to bring workplace fairness claims, with the Employment Claims Tribunal handling claims up to a limit and the High Court above it. Civil penalties for serious contraventions are substantial. This is a material change from a guidance-based regime.</w:t>
      </w:r>
    </w:p>
    <w:p>
      <w:pPr>
        <w:keepNext/>
        <w:spacing w:after="40" w:before="140"/>
      </w:pPr>
      <w:r>
        <w:rPr>
          <w:rFonts w:ascii="Calibri" w:cs="Calibri" w:eastAsia="Calibri" w:hAnsi="Calibri"/>
          <w:b/>
          <w:bCs/>
          <w:color w:val="14161B"/>
          <w:sz w:val="20"/>
          <w:szCs w:val="20"/>
        </w:rPr>
        <w:t xml:space="preserve">Documentation is the defence</w:t>
      </w:r>
    </w:p>
    <w:p>
      <w:pPr>
        <w:spacing w:after="60" w:line="264"/>
        <w:jc w:val="both"/>
      </w:pPr>
      <w:r>
        <w:rPr>
          <w:rFonts w:ascii="Calibri" w:cs="Calibri" w:eastAsia="Calibri" w:hAnsi="Calibri"/>
          <w:sz w:val="19"/>
          <w:szCs w:val="19"/>
        </w:rPr>
        <w:t xml:space="preserve">Where a decision is challenged, the question will be whether it can be explained on objective, job-related grounds. Selection criteria recorded before candidates were assessed, interview notes, appraisal records, and reasoning for promotion and retrenchment decisions are what answer it. Decisions that were reasonable but undocumented are hard to defend after the event.</w:t>
      </w:r>
    </w:p>
    <w:p>
      <w:pPr>
        <w:keepNext/>
        <w:spacing w:after="40" w:before="140"/>
      </w:pPr>
      <w:r>
        <w:rPr>
          <w:rFonts w:ascii="Calibri" w:cs="Calibri" w:eastAsia="Calibri" w:hAnsi="Calibri"/>
          <w:b/>
          <w:bCs/>
          <w:color w:val="14161B"/>
          <w:sz w:val="20"/>
          <w:szCs w:val="20"/>
        </w:rPr>
        <w:t xml:space="preserve">Watch the interview stage</w:t>
      </w:r>
    </w:p>
    <w:p>
      <w:pPr>
        <w:spacing w:after="60" w:line="264"/>
        <w:jc w:val="both"/>
      </w:pPr>
      <w:r>
        <w:rPr>
          <w:rFonts w:ascii="Calibri" w:cs="Calibri" w:eastAsia="Calibri" w:hAnsi="Calibri"/>
          <w:sz w:val="19"/>
          <w:szCs w:val="19"/>
        </w:rPr>
        <w:t xml:space="preserve">Questions about marital status, family plans, pregnancy, religion or age are asked more often than employers realise, usually as small talk by managers who have had no training. They create a direct evidential problem if a candidate is later rejected. Clause 4.4 and checklist item 7 address it; briefing hiring managers is the actual fix.</w:t>
      </w:r>
    </w:p>
    <w:p>
      <w:pPr>
        <w:keepNext/>
        <w:spacing w:after="40" w:before="140"/>
      </w:pPr>
      <w:r>
        <w:rPr>
          <w:rFonts w:ascii="Calibri" w:cs="Calibri" w:eastAsia="Calibri" w:hAnsi="Calibri"/>
          <w:b/>
          <w:bCs/>
          <w:color w:val="14161B"/>
          <w:sz w:val="20"/>
          <w:szCs w:val="20"/>
        </w:rPr>
        <w:t xml:space="preserve">Fair Consideration Framework runs alongside</w:t>
      </w:r>
    </w:p>
    <w:p>
      <w:pPr>
        <w:spacing w:after="60" w:line="264"/>
        <w:jc w:val="both"/>
      </w:pPr>
      <w:r>
        <w:rPr>
          <w:rFonts w:ascii="Calibri" w:cs="Calibri" w:eastAsia="Calibri" w:hAnsi="Calibri"/>
          <w:sz w:val="19"/>
          <w:szCs w:val="19"/>
        </w:rPr>
        <w:t xml:space="preserve">The requirement to advertise on the national jobs portal and fairly consider Singapore citizens before applying for an Employment Pass operates separately from the Act and is already in force. The advertisement must precede the pass application. Non-compliance can result in work pass restrictions.</w:t>
      </w:r>
    </w:p>
    <w:p>
      <w:pPr>
        <w:keepNext/>
        <w:spacing w:after="40" w:before="140"/>
      </w:pPr>
      <w:r>
        <w:rPr>
          <w:rFonts w:ascii="Calibri" w:cs="Calibri" w:eastAsia="Calibri" w:hAnsi="Calibri"/>
          <w:b/>
          <w:bCs/>
          <w:color w:val="14161B"/>
          <w:sz w:val="20"/>
          <w:szCs w:val="20"/>
        </w:rPr>
        <w:t xml:space="preserve">Exceptions are narrow</w:t>
      </w:r>
    </w:p>
    <w:p>
      <w:pPr>
        <w:spacing w:after="60" w:line="264"/>
        <w:jc w:val="both"/>
      </w:pPr>
      <w:r>
        <w:rPr>
          <w:rFonts w:ascii="Calibri" w:cs="Calibri" w:eastAsia="Calibri" w:hAnsi="Calibri"/>
          <w:sz w:val="19"/>
          <w:szCs w:val="19"/>
        </w:rPr>
        <w:t xml:space="preserve">The Act permits reliance on a characteristic in limited circumstances, including genuine job requirements. A preference is not a requirement, and a customer preference is almost never a genuine requirement. Clause 3.2 routes any reliance on an exception through a named approver with recorded reasoning — keep that control.</w:t>
      </w:r>
    </w:p>
    <w:p>
      <w:pPr>
        <w:keepNext/>
        <w:spacing w:after="40" w:before="140"/>
      </w:pPr>
      <w:r>
        <w:rPr>
          <w:rFonts w:ascii="Calibri" w:cs="Calibri" w:eastAsia="Calibri" w:hAnsi="Calibri"/>
          <w:b/>
          <w:bCs/>
          <w:color w:val="14161B"/>
          <w:sz w:val="20"/>
          <w:szCs w:val="20"/>
        </w:rPr>
        <w:t xml:space="preserve">Harassment is dealt with separately</w:t>
      </w:r>
    </w:p>
    <w:p>
      <w:pPr>
        <w:spacing w:after="60" w:line="264"/>
        <w:jc w:val="both"/>
      </w:pPr>
      <w:r>
        <w:rPr>
          <w:rFonts w:ascii="Calibri" w:cs="Calibri" w:eastAsia="Calibri" w:hAnsi="Calibri"/>
          <w:sz w:val="19"/>
          <w:szCs w:val="19"/>
        </w:rPr>
        <w:t xml:space="preserve">Harassment is addressed under the Company’s anti-harassment policy and, where relevant, the Protection from Harassment Act. Where a grievance raises both discrimination and harassment, the person should be told which process applies to which element and how they will be coordinated.</w:t>
      </w:r>
    </w:p>
    <w:p>
      <w:pPr>
        <w:keepNext/>
        <w:spacing w:after="40" w:before="140"/>
      </w:pPr>
      <w:r>
        <w:rPr>
          <w:rFonts w:ascii="Calibri" w:cs="Calibri" w:eastAsia="Calibri" w:hAnsi="Calibri"/>
          <w:b/>
          <w:bCs/>
          <w:color w:val="14161B"/>
          <w:sz w:val="20"/>
          <w:szCs w:val="20"/>
        </w:rPr>
        <w:t xml:space="preserve">Review the register, not just the cases</w:t>
      </w:r>
    </w:p>
    <w:p>
      <w:pPr>
        <w:spacing w:after="60" w:line="264"/>
        <w:jc w:val="both"/>
      </w:pPr>
      <w:r>
        <w:rPr>
          <w:rFonts w:ascii="Calibri" w:cs="Calibri" w:eastAsia="Calibri" w:hAnsi="Calibri"/>
          <w:sz w:val="19"/>
          <w:szCs w:val="19"/>
        </w:rPr>
        <w:t xml:space="preserve">Individual grievances resolved correctly can still conceal a pattern — one team generating repeated complaints, one characteristic recurring, or consistently long resolution times. Clause 7.4 requires an annual review. That review is also what evidences a functioning process if the Company is ever asked.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Workplace Fairness Act is passed but not yet commenced, and subsidiary legislation, thresholds and guidance are still to be issued — review this policy against the Act and any regulations before commencement, and have it reviewed by an employment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2026-08-22T06:55:28.674Z</dcterms:created>
  <dcterms:modified xsi:type="dcterms:W3CDTF">2026-08-22T06:55:28.674Z</dcterms:modified>
</cp:coreProperties>
</file>

<file path=docProps/custom.xml><?xml version="1.0" encoding="utf-8"?>
<Properties xmlns="http://schemas.openxmlformats.org/officeDocument/2006/custom-properties" xmlns:vt="http://schemas.openxmlformats.org/officeDocument/2006/docPropsVTypes"/>
</file>