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40"/>
        <w:jc w:val="center"/>
      </w:pPr>
      <w:r>
        <w:rPr>
          <w:rFonts w:ascii="Calibri" w:cs="Calibri" w:eastAsia="Calibri" w:hAnsi="Calibri"/>
          <w:b/>
          <w:bCs/>
          <w:color w:val="14161B"/>
          <w:spacing w:val="12"/>
          <w:sz w:val="28"/>
          <w:szCs w:val="28"/>
        </w:rPr>
        <w:t xml:space="preserve">WORK PERMIT</w:t>
      </w:r>
    </w:p>
    <w:p>
      <w:pPr>
        <w:spacing w:after="260"/>
        <w:jc w:val="center"/>
      </w:pPr>
      <w:r>
        <w:rPr>
          <w:rFonts w:ascii="Calibri" w:cs="Calibri" w:eastAsia="Calibri" w:hAnsi="Calibri"/>
          <w:i/>
          <w:iCs/>
          <w:color w:val="6E7480"/>
          <w:sz w:val="19"/>
          <w:szCs w:val="19"/>
        </w:rPr>
        <w:t xml:space="preserve">Application, employer obligations and welfare</w:t>
      </w:r>
    </w:p>
    <w:p>
      <w:pPr>
        <w:spacing w:after="180" w:before="0" w:line="276"/>
        <w:jc w:val="both"/>
      </w:pPr>
      <w:r>
        <w:rPr>
          <w:rFonts w:ascii="Calibri" w:cs="Calibri" w:eastAsia="Calibri" w:hAnsi="Calibri"/>
          <w:i/>
          <w:iCs/>
          <w:color w:val="6E7480"/>
          <w:sz w:val="21"/>
          <w:szCs w:val="21"/>
        </w:rPr>
        <w:t xml:space="preserve">The Work Permit carries the heaviest employer obligations of any pass: quota, levy, security bond, medical insurance, accommodation, upkeep and repatriation. Most of these run for the life of the pass regardless of whether the worker is actually working, and several survive the end of the employment relationship.</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662"/>
        <w:gridCol w:w="5976"/>
      </w:tblGrid>
      <w:tr>
        <w:trPr>
          <w:tblHeader/>
        </w:trPr>
        <w:tc>
          <w:tcPr>
            <w:tcW w:type="dxa" w:w="366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Item</w:t>
            </w:r>
          </w:p>
        </w:tc>
        <w:tc>
          <w:tcPr>
            <w:tcW w:type="dxa" w:w="597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w:t>
            </w:r>
          </w:p>
        </w:tc>
      </w:tr>
      <w:t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Employer</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[COMPANY NAME]</w:t>
            </w:r>
            <w:r>
              <w:rPr>
                <w:rFonts w:ascii="Calibri" w:cs="Calibri" w:eastAsia="Calibri" w:hAnsi="Calibri"/>
                <w:sz w:val="19"/>
                <w:szCs w:val="19"/>
              </w:rPr>
              <w:t xml:space="preserve">, UEN </w:t>
            </w:r>
            <w:r>
              <w:rPr>
                <w:rFonts w:ascii="Calibri" w:cs="Calibri" w:eastAsia="Calibri" w:hAnsi="Calibri"/>
                <w:b/>
                <w:bCs/>
                <w:sz w:val="19"/>
                <w:szCs w:val="19"/>
              </w:rPr>
              <w:t xml:space="preserve">[UEN]</w:t>
            </w:r>
          </w:p>
        </w:tc>
      </w:tr>
      <w:t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Sector</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[Services / Manufacturing / Construction / Marine shipyard / Process]</w:t>
            </w:r>
          </w:p>
        </w:tc>
      </w:tr>
      <w:t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Worker</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r>
              <w:rPr>
                <w:rFonts w:ascii="Calibri" w:cs="Calibri" w:eastAsia="Calibri" w:hAnsi="Calibri"/>
                <w:sz w:val="19"/>
                <w:szCs w:val="19"/>
              </w:rPr>
              <w:t xml:space="preserve">, nationality </w:t>
            </w:r>
            <w:r>
              <w:rPr>
                <w:rFonts w:ascii="Calibri" w:cs="Calibri" w:eastAsia="Calibri" w:hAnsi="Calibri"/>
                <w:b/>
                <w:bCs/>
                <w:sz w:val="19"/>
                <w:szCs w:val="19"/>
              </w:rPr>
              <w:t xml:space="preserve">[COUNTRY]</w:t>
            </w:r>
            <w:r>
              <w:rPr>
                <w:rFonts w:ascii="Calibri" w:cs="Calibri" w:eastAsia="Calibri" w:hAnsi="Calibri"/>
                <w:sz w:val="19"/>
                <w:szCs w:val="19"/>
              </w:rPr>
              <w:t xml:space="preserve">, passport </w:t>
            </w:r>
            <w:r>
              <w:rPr>
                <w:rFonts w:ascii="Calibri" w:cs="Calibri" w:eastAsia="Calibri" w:hAnsi="Calibri"/>
                <w:b/>
                <w:bCs/>
                <w:sz w:val="19"/>
                <w:szCs w:val="19"/>
              </w:rPr>
              <w:t xml:space="preserve">[NUMBER]</w:t>
            </w:r>
          </w:p>
        </w:tc>
      </w:tr>
      <w:t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Source country classification</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[Confirm — eligibility and levy vary by source country and sector]</w:t>
            </w:r>
          </w:p>
        </w:tc>
      </w:tr>
      <w:t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Occupation</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[OCCUPATION]</w:t>
            </w:r>
          </w:p>
        </w:tc>
      </w:tr>
      <w:t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Monthly salary</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S$ </w:t>
            </w:r>
            <w:r>
              <w:rPr>
                <w:rFonts w:ascii="Calibri" w:cs="Calibri" w:eastAsia="Calibri" w:hAnsi="Calibri"/>
                <w:b/>
                <w:bCs/>
                <w:sz w:val="19"/>
                <w:szCs w:val="19"/>
              </w:rPr>
              <w:t xml:space="preserve">[AMOUNT]</w:t>
            </w:r>
          </w:p>
        </w:tc>
      </w:tr>
      <w:t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Skill classification</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[Higher-skilled / Basic-skilled — affects levy]</w:t>
            </w:r>
          </w:p>
        </w:tc>
      </w:tr>
      <w:t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Local workforce count</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[NUMBER]</w:t>
            </w:r>
          </w:p>
        </w:tc>
      </w:tr>
      <w:t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Dependency ratio ceiling for the sector</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[RATIO]</w:t>
            </w:r>
          </w:p>
        </w:tc>
      </w:tr>
      <w:t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Work Permit holders currently employed</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[NUMBER]</w:t>
            </w:r>
          </w:p>
        </w:tc>
      </w:tr>
      <w:t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Quota headroom</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[NUMBER]</w:t>
            </w:r>
          </w:p>
        </w:tc>
      </w:tr>
      <w:t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Security bond required</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[Yes — S$ ______ / No — confirm by nationality]</w:t>
            </w:r>
          </w:p>
        </w:tc>
      </w:tr>
      <w:t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Medical insurance</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Required — confirm sum insured meets the current minimum</w:t>
            </w:r>
          </w:p>
        </w:tc>
      </w:tr>
      <w:t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Accommodation</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[ADDRESS AND TYPE]</w:t>
            </w:r>
          </w:p>
        </w:tc>
      </w:tr>
    </w:tbl>
    <w:p>
      <w:pPr>
        <w:spacing w:after="180"/>
      </w:pPr>
    </w:p>
    <w:p>
      <w:pPr>
        <w:keepNext/>
        <w:spacing w:after="120" w:before="280"/>
        <w:outlineLvl w:val="0"/>
      </w:pPr>
      <w:r>
        <w:rPr>
          <w:rFonts w:ascii="Calibri" w:cs="Calibri" w:eastAsia="Calibri" w:hAnsi="Calibri"/>
          <w:b/>
          <w:bCs/>
          <w:color w:val="14161B"/>
          <w:sz w:val="22"/>
          <w:szCs w:val="22"/>
        </w:rPr>
        <w:t xml:space="preserve">1. BEFORE APPLYING</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481"/>
        <w:gridCol w:w="7517"/>
        <w:gridCol w:w="1640"/>
      </w:tblGrid>
      <w:tr>
        <w:trPr>
          <w:tblHeader/>
        </w:trPr>
        <w:tc>
          <w:tcPr>
            <w:tcW w:type="dxa" w:w="48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w:t>
            </w:r>
          </w:p>
        </w:tc>
        <w:tc>
          <w:tcPr>
            <w:tcW w:type="dxa" w:w="751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Step</w:t>
            </w:r>
          </w:p>
        </w:tc>
        <w:tc>
          <w:tcPr>
            <w:tcW w:type="dxa" w:w="164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Done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1</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Sector and dependency ratio ceiling identified</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2</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Local workforce computed using the Local Qualifying Salary basis</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3</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Quota headroom confirmed as available</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4</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Source country and occupation confirmed as eligible for the sector</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5</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Levy rate identified for the skill level and quota tier</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6</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Security bond arranged where required by nationality</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7</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Medical insurance arranged meeting the current minimum sum insured</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8</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Accommodation identified and compliant with housing standards</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9</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Where required, primary care plan or medical arrangement in place</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10</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Employment terms prepared in a language the worker understands</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11</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Employer has no outstanding levy arrears or contraventions</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[Y/N]</w:t>
            </w:r>
          </w:p>
        </w:tc>
      </w:tr>
    </w:tbl>
    <w:p>
      <w:pPr>
        <w:spacing w:after="160"/>
      </w:pPr>
    </w:p>
    <w:p>
      <w:pPr>
        <w:keepNext/>
        <w:spacing w:after="120" w:before="280"/>
        <w:outlineLvl w:val="0"/>
      </w:pPr>
      <w:r>
        <w:rPr>
          <w:rFonts w:ascii="Calibri" w:cs="Calibri" w:eastAsia="Calibri" w:hAnsi="Calibri"/>
          <w:b/>
          <w:bCs/>
          <w:color w:val="14161B"/>
          <w:sz w:val="22"/>
          <w:szCs w:val="22"/>
        </w:rPr>
        <w:t xml:space="preserve">2. CONTINUING EMPLOYER OBLIGATIONS</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2313"/>
        <w:gridCol w:w="7325"/>
      </w:tblGrid>
      <w:tr>
        <w:trPr>
          <w:tblHeader/>
        </w:trPr>
        <w:tc>
          <w:tcPr>
            <w:tcW w:type="dxa" w:w="231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Obligation</w:t>
            </w:r>
          </w:p>
        </w:tc>
        <w:tc>
          <w:tcPr>
            <w:tcW w:type="dxa" w:w="732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What it means in practice</w:t>
            </w:r>
          </w:p>
        </w:tc>
      </w:tr>
      <w:t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Levy</w:t>
            </w:r>
          </w:p>
        </w:tc>
        <w:tc>
          <w:tcPr>
            <w:tcW w:type="dxa" w:w="732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Payable monthly for the whole period the permit is in force, including leave, absence, notice and hospitalisation. Rate depends on skill classification and quota tier. </w:t>
            </w:r>
            <w:r>
              <w:rPr>
                <w:rFonts w:ascii="Calibri" w:cs="Calibri" w:eastAsia="Calibri" w:hAnsi="Calibri"/>
                <w:b/>
                <w:bCs/>
                <w:sz w:val="18"/>
                <w:szCs w:val="18"/>
              </w:rPr>
              <w:t xml:space="preserve">Must never be recovered from the worker</w:t>
            </w:r>
          </w:p>
        </w:tc>
      </w:tr>
      <w:t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Security bond</w:t>
            </w:r>
          </w:p>
        </w:tc>
        <w:tc>
          <w:tcPr>
            <w:tcW w:type="dxa" w:w="732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Required for workers of certain nationalities. The bond may be forfeited where the employer breaches its obligations, including failure to repatriate. It is an employer liability, not the worker’s</w:t>
            </w:r>
          </w:p>
        </w:tc>
      </w:tr>
      <w:t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Medical insurance</w:t>
            </w:r>
          </w:p>
        </w:tc>
        <w:tc>
          <w:tcPr>
            <w:tcW w:type="dxa" w:w="732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Must be maintained for the whole permit period, meeting the prescribed minimum sum insured. Minimum cover levels have been raised in recent years</w:t>
            </w:r>
          </w:p>
        </w:tc>
      </w:tr>
      <w:t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Accommodation</w:t>
            </w:r>
          </w:p>
        </w:tc>
        <w:tc>
          <w:tcPr>
            <w:tcW w:type="dxa" w:w="732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Acceptable accommodation meeting housing standards must be provided or arranged, and the address kept updated with the authority</w:t>
            </w:r>
          </w:p>
        </w:tc>
      </w:tr>
      <w:t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Upkeep and maintenance</w:t>
            </w:r>
          </w:p>
        </w:tc>
        <w:tc>
          <w:tcPr>
            <w:tcW w:type="dxa" w:w="732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The employer is responsible for the worker’s upkeep and wellbeing for the duration of the permit</w:t>
            </w:r>
          </w:p>
        </w:tc>
      </w:tr>
      <w:t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Salary payment</w:t>
            </w:r>
          </w:p>
        </w:tc>
        <w:tc>
          <w:tcPr>
            <w:tcW w:type="dxa" w:w="732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Salary must be paid on time, at least monthly and within seven days of the salary period, with an itemised payslip. Payment into the worker’s own bank account</w:t>
            </w:r>
          </w:p>
        </w:tc>
      </w:tr>
      <w:t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Repatriation</w:t>
            </w:r>
          </w:p>
        </w:tc>
        <w:tc>
          <w:tcPr>
            <w:tcW w:type="dxa" w:w="732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The employer bears the cost of sending the worker home at the end of employment, including where the worker is dismissed or the permit is cancelled</w:t>
            </w:r>
          </w:p>
        </w:tc>
      </w:tr>
      <w:t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Safe work</w:t>
            </w:r>
          </w:p>
        </w:tc>
        <w:tc>
          <w:tcPr>
            <w:tcW w:type="dxa" w:w="732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Workplace safety and health obligations apply in full, including risk assessment, training and incident reporting</w:t>
            </w:r>
          </w:p>
        </w:tc>
      </w:tr>
      <w:t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Work injury compensation</w:t>
            </w:r>
          </w:p>
        </w:tc>
        <w:tc>
          <w:tcPr>
            <w:tcW w:type="dxa" w:w="732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Insurance under the Work Injury Compensation Act must be maintained</w:t>
            </w:r>
          </w:p>
        </w:tc>
      </w:tr>
      <w:t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No unauthorised deployment</w:t>
            </w:r>
          </w:p>
        </w:tc>
        <w:tc>
          <w:tcPr>
            <w:tcW w:type="dxa" w:w="732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The worker may only work for this employer, in the declared occupation, at the declared workplace</w:t>
            </w:r>
          </w:p>
        </w:tc>
      </w:tr>
    </w:tbl>
    <w:p>
      <w:pPr>
        <w:spacing w:after="0" w:before="0" w:line="1"/>
      </w:pPr>
      <w:r>
        <w:br w:type="page"/>
      </w:r>
    </w:p>
    <w:p>
      <w:pPr>
        <w:keepNext/>
        <w:spacing w:after="120" w:before="280"/>
        <w:outlineLvl w:val="0"/>
      </w:pPr>
      <w:r>
        <w:rPr>
          <w:rFonts w:ascii="Calibri" w:cs="Calibri" w:eastAsia="Calibri" w:hAnsi="Calibri"/>
          <w:b/>
          <w:bCs/>
          <w:color w:val="14161B"/>
          <w:sz w:val="22"/>
          <w:szCs w:val="22"/>
        </w:rPr>
        <w:t xml:space="preserve">3. PROHIBITED PRACTICES</w:t>
      </w:r>
    </w:p>
    <w:p>
      <w:pPr>
        <w:spacing w:after="120" w:before="60" w:line="276"/>
        <w:ind w:left="720" w:hanging="720"/>
        <w:jc w:val="both"/>
      </w:pPr>
      <w:r>
        <w:rPr>
          <w:rFonts w:ascii="Calibri" w:cs="Calibri" w:eastAsia="Calibri" w:hAnsi="Calibri"/>
          <w:sz w:val="21"/>
          <w:szCs w:val="21"/>
        </w:rPr>
        <w:t xml:space="preserve">3.1	</w:t>
      </w:r>
      <w:r>
        <w:rPr>
          <w:rFonts w:ascii="Calibri" w:cs="Calibri" w:eastAsia="Calibri" w:hAnsi="Calibri"/>
          <w:sz w:val="21"/>
          <w:szCs w:val="21"/>
        </w:rPr>
        <w:t xml:space="preserve">The following are prohibited. Several are among the most frequently enforced contraventions in this area, and some carry criminal liability.</w:t>
      </w:r>
    </w:p>
    <w:p>
      <w:pPr>
        <w:spacing w:after="100" w:before="40" w:line="276"/>
        <w:ind w:left="1440" w:hanging="720"/>
        <w:jc w:val="both"/>
      </w:pPr>
      <w:r>
        <w:rPr>
          <w:rFonts w:ascii="Calibri" w:cs="Calibri" w:eastAsia="Calibri" w:hAnsi="Calibri"/>
          <w:sz w:val="21"/>
          <w:szCs w:val="21"/>
        </w:rPr>
        <w:t xml:space="preserve">(a)	</w:t>
      </w:r>
      <w:r>
        <w:rPr>
          <w:rFonts w:ascii="Calibri" w:cs="Calibri" w:eastAsia="Calibri" w:hAnsi="Calibri"/>
          <w:b/>
          <w:bCs/>
          <w:sz w:val="21"/>
          <w:szCs w:val="21"/>
        </w:rPr>
        <w:t xml:space="preserve">Recovering the levy from the worker</w:t>
      </w:r>
      <w:r>
        <w:rPr>
          <w:rFonts w:ascii="Calibri" w:cs="Calibri" w:eastAsia="Calibri" w:hAnsi="Calibri"/>
          <w:sz w:val="21"/>
          <w:szCs w:val="21"/>
        </w:rPr>
        <w:t xml:space="preserve">, by deduction, salary structuring or any side arrangement;</w:t>
      </w:r>
    </w:p>
    <w:p>
      <w:pPr>
        <w:spacing w:after="100" w:before="40" w:line="276"/>
        <w:ind w:left="1440" w:hanging="720"/>
        <w:jc w:val="both"/>
      </w:pPr>
      <w:r>
        <w:rPr>
          <w:rFonts w:ascii="Calibri" w:cs="Calibri" w:eastAsia="Calibri" w:hAnsi="Calibri"/>
          <w:sz w:val="21"/>
          <w:szCs w:val="21"/>
        </w:rPr>
        <w:t xml:space="preserve">(b)	</w:t>
      </w:r>
      <w:r>
        <w:rPr>
          <w:rFonts w:ascii="Calibri" w:cs="Calibri" w:eastAsia="Calibri" w:hAnsi="Calibri"/>
          <w:b/>
          <w:bCs/>
          <w:sz w:val="21"/>
          <w:szCs w:val="21"/>
        </w:rPr>
        <w:t xml:space="preserve">Collecting a kickback</w:t>
      </w:r>
      <w:r>
        <w:rPr>
          <w:rFonts w:ascii="Calibri" w:cs="Calibri" w:eastAsia="Calibri" w:hAnsi="Calibri"/>
          <w:sz w:val="21"/>
          <w:szCs w:val="21"/>
        </w:rPr>
        <w:t xml:space="preserve"> — any payment from the worker or a third party in return for employment, permit renewal or continued employment. This includes payments to agents that are passed back;</w:t>
      </w:r>
    </w:p>
    <w:p>
      <w:pPr>
        <w:spacing w:after="100" w:before="40" w:line="276"/>
        <w:ind w:left="1440" w:hanging="720"/>
        <w:jc w:val="both"/>
      </w:pPr>
      <w:r>
        <w:rPr>
          <w:rFonts w:ascii="Calibri" w:cs="Calibri" w:eastAsia="Calibri" w:hAnsi="Calibri"/>
          <w:sz w:val="21"/>
          <w:szCs w:val="21"/>
        </w:rPr>
        <w:t xml:space="preserve">(c)	</w:t>
      </w:r>
      <w:r>
        <w:rPr>
          <w:rFonts w:ascii="Calibri" w:cs="Calibri" w:eastAsia="Calibri" w:hAnsi="Calibri"/>
          <w:b/>
          <w:bCs/>
          <w:sz w:val="21"/>
          <w:szCs w:val="21"/>
        </w:rPr>
        <w:t xml:space="preserve">Retaining the worker’s passport, permit card or bank card</w:t>
      </w:r>
      <w:r>
        <w:rPr>
          <w:rFonts w:ascii="Calibri" w:cs="Calibri" w:eastAsia="Calibri" w:hAnsi="Calibri"/>
          <w:sz w:val="21"/>
          <w:szCs w:val="21"/>
        </w:rPr>
        <w:t xml:space="preserve">, or controlling their bank account;</w:t>
      </w:r>
    </w:p>
    <w:p>
      <w:pPr>
        <w:spacing w:after="100" w:before="40" w:line="276"/>
        <w:ind w:left="1440" w:hanging="720"/>
        <w:jc w:val="both"/>
      </w:pPr>
      <w:r>
        <w:rPr>
          <w:rFonts w:ascii="Calibri" w:cs="Calibri" w:eastAsia="Calibri" w:hAnsi="Calibri"/>
          <w:sz w:val="21"/>
          <w:szCs w:val="21"/>
        </w:rPr>
        <w:t xml:space="preserve">(d)	</w:t>
      </w:r>
      <w:r>
        <w:rPr>
          <w:rFonts w:ascii="Calibri" w:cs="Calibri" w:eastAsia="Calibri" w:hAnsi="Calibri"/>
          <w:sz w:val="21"/>
          <w:szCs w:val="21"/>
        </w:rPr>
        <w:t xml:space="preserve">Deploying the worker to another employer, another occupation, or an undeclared workplace;</w:t>
      </w:r>
    </w:p>
    <w:p>
      <w:pPr>
        <w:spacing w:after="100" w:before="40" w:line="276"/>
        <w:ind w:left="1440" w:hanging="720"/>
        <w:jc w:val="both"/>
      </w:pPr>
      <w:r>
        <w:rPr>
          <w:rFonts w:ascii="Calibri" w:cs="Calibri" w:eastAsia="Calibri" w:hAnsi="Calibri"/>
          <w:sz w:val="21"/>
          <w:szCs w:val="21"/>
        </w:rPr>
        <w:t xml:space="preserve">(e)	</w:t>
      </w:r>
      <w:r>
        <w:rPr>
          <w:rFonts w:ascii="Calibri" w:cs="Calibri" w:eastAsia="Calibri" w:hAnsi="Calibri"/>
          <w:sz w:val="21"/>
          <w:szCs w:val="21"/>
        </w:rPr>
        <w:t xml:space="preserve">Making deductions from salary other than those the law permits, or exceeding the statutory limit for a salary period;</w:t>
      </w:r>
    </w:p>
    <w:p>
      <w:pPr>
        <w:spacing w:after="100" w:before="40" w:line="276"/>
        <w:ind w:left="1440" w:hanging="720"/>
        <w:jc w:val="both"/>
      </w:pPr>
      <w:r>
        <w:rPr>
          <w:rFonts w:ascii="Calibri" w:cs="Calibri" w:eastAsia="Calibri" w:hAnsi="Calibri"/>
          <w:sz w:val="21"/>
          <w:szCs w:val="21"/>
        </w:rPr>
        <w:t xml:space="preserve">(f)	</w:t>
      </w:r>
      <w:r>
        <w:rPr>
          <w:rFonts w:ascii="Calibri" w:cs="Calibri" w:eastAsia="Calibri" w:hAnsi="Calibri"/>
          <w:sz w:val="21"/>
          <w:szCs w:val="21"/>
        </w:rPr>
        <w:t xml:space="preserve">Paying salary in cash without a record, or failing to issue an itemised payslip;</w:t>
      </w:r>
    </w:p>
    <w:p>
      <w:pPr>
        <w:spacing w:after="100" w:before="40" w:line="276"/>
        <w:ind w:left="1440" w:hanging="720"/>
        <w:jc w:val="both"/>
      </w:pPr>
      <w:r>
        <w:rPr>
          <w:rFonts w:ascii="Calibri" w:cs="Calibri" w:eastAsia="Calibri" w:hAnsi="Calibri"/>
          <w:sz w:val="21"/>
          <w:szCs w:val="21"/>
        </w:rPr>
        <w:t xml:space="preserve">(g)	</w:t>
      </w:r>
      <w:r>
        <w:rPr>
          <w:rFonts w:ascii="Calibri" w:cs="Calibri" w:eastAsia="Calibri" w:hAnsi="Calibri"/>
          <w:sz w:val="21"/>
          <w:szCs w:val="21"/>
        </w:rPr>
        <w:t xml:space="preserve">Providing accommodation that does not meet housing standards;</w:t>
      </w:r>
    </w:p>
    <w:p>
      <w:pPr>
        <w:spacing w:after="100" w:before="40" w:line="276"/>
        <w:ind w:left="1440" w:hanging="720"/>
        <w:jc w:val="both"/>
      </w:pPr>
      <w:r>
        <w:rPr>
          <w:rFonts w:ascii="Calibri" w:cs="Calibri" w:eastAsia="Calibri" w:hAnsi="Calibri"/>
          <w:sz w:val="21"/>
          <w:szCs w:val="21"/>
        </w:rPr>
        <w:t xml:space="preserve">(h)	</w:t>
      </w:r>
      <w:r>
        <w:rPr>
          <w:rFonts w:ascii="Calibri" w:cs="Calibri" w:eastAsia="Calibri" w:hAnsi="Calibri"/>
          <w:sz w:val="21"/>
          <w:szCs w:val="21"/>
        </w:rPr>
        <w:t xml:space="preserve">Failing to repatriate the worker at the end of employment;</w:t>
      </w:r>
    </w:p>
    <w:p>
      <w:pPr>
        <w:spacing w:after="100" w:before="40" w:line="276"/>
        <w:ind w:left="1440" w:hanging="720"/>
        <w:jc w:val="both"/>
      </w:pPr>
      <w:r>
        <w:rPr>
          <w:rFonts w:ascii="Calibri" w:cs="Calibri" w:eastAsia="Calibri" w:hAnsi="Calibri"/>
          <w:sz w:val="21"/>
          <w:szCs w:val="21"/>
        </w:rPr>
        <w:t xml:space="preserve">(i)	</w:t>
      </w:r>
      <w:r>
        <w:rPr>
          <w:rFonts w:ascii="Calibri" w:cs="Calibri" w:eastAsia="Calibri" w:hAnsi="Calibri"/>
          <w:sz w:val="21"/>
          <w:szCs w:val="21"/>
        </w:rPr>
        <w:t xml:space="preserve">Threatening repatriation or permit cancellation to deter a worker from making a complaint or a work injury claim.</w:t>
      </w:r>
    </w:p>
    <w:p>
      <w:pPr>
        <w:spacing w:after="120" w:before="60" w:line="276"/>
        <w:ind w:left="720" w:hanging="720"/>
        <w:jc w:val="both"/>
      </w:pPr>
      <w:r>
        <w:rPr>
          <w:rFonts w:ascii="Calibri" w:cs="Calibri" w:eastAsia="Calibri" w:hAnsi="Calibri"/>
          <w:sz w:val="21"/>
          <w:szCs w:val="21"/>
        </w:rPr>
        <w:t xml:space="preserve">3.2	</w:t>
      </w:r>
      <w:r>
        <w:rPr>
          <w:rFonts w:ascii="Calibri" w:cs="Calibri" w:eastAsia="Calibri" w:hAnsi="Calibri"/>
          <w:i/>
          <w:iCs/>
          <w:sz w:val="21"/>
          <w:szCs w:val="21"/>
        </w:rPr>
        <w:t xml:space="preserve">Contraventions can result in fines, prosecution, forfeiture of the security bond, and debarment from employing foreign workers — which for a labour-dependent business is the most serious consequence of all.</w:t>
      </w:r>
    </w:p>
    <w:p>
      <w:pPr>
        <w:keepNext/>
        <w:spacing w:after="120" w:before="280"/>
        <w:outlineLvl w:val="0"/>
      </w:pPr>
      <w:r>
        <w:rPr>
          <w:rFonts w:ascii="Calibri" w:cs="Calibri" w:eastAsia="Calibri" w:hAnsi="Calibri"/>
          <w:b/>
          <w:bCs/>
          <w:color w:val="14161B"/>
          <w:sz w:val="22"/>
          <w:szCs w:val="22"/>
        </w:rPr>
        <w:t xml:space="preserve">4. SALARY AND PAYSLIPS</w:t>
      </w:r>
    </w:p>
    <w:p>
      <w:pPr>
        <w:spacing w:after="120" w:before="60" w:line="276"/>
        <w:ind w:left="720" w:hanging="720"/>
        <w:jc w:val="both"/>
      </w:pPr>
      <w:r>
        <w:rPr>
          <w:rFonts w:ascii="Calibri" w:cs="Calibri" w:eastAsia="Calibri" w:hAnsi="Calibri"/>
          <w:sz w:val="21"/>
          <w:szCs w:val="21"/>
        </w:rPr>
        <w:t xml:space="preserve">4.1	</w:t>
      </w:r>
      <w:r>
        <w:rPr>
          <w:rFonts w:ascii="Calibri" w:cs="Calibri" w:eastAsia="Calibri" w:hAnsi="Calibri"/>
          <w:sz w:val="21"/>
          <w:szCs w:val="21"/>
        </w:rPr>
        <w:t xml:space="preserve">Salary must be paid at least monthly and within </w:t>
      </w:r>
      <w:r>
        <w:rPr>
          <w:rFonts w:ascii="Calibri" w:cs="Calibri" w:eastAsia="Calibri" w:hAnsi="Calibri"/>
          <w:b/>
          <w:bCs/>
          <w:sz w:val="21"/>
          <w:szCs w:val="21"/>
        </w:rPr>
        <w:t xml:space="preserve">seven days</w:t>
      </w:r>
      <w:r>
        <w:rPr>
          <w:rFonts w:ascii="Calibri" w:cs="Calibri" w:eastAsia="Calibri" w:hAnsi="Calibri"/>
          <w:sz w:val="21"/>
          <w:szCs w:val="21"/>
        </w:rPr>
        <w:t xml:space="preserve"> after the end of the salary period, into the worker’s own account.</w:t>
      </w:r>
    </w:p>
    <w:p>
      <w:pPr>
        <w:spacing w:after="120" w:before="60" w:line="276"/>
        <w:ind w:left="720" w:hanging="720"/>
        <w:jc w:val="both"/>
      </w:pPr>
      <w:r>
        <w:rPr>
          <w:rFonts w:ascii="Calibri" w:cs="Calibri" w:eastAsia="Calibri" w:hAnsi="Calibri"/>
          <w:sz w:val="21"/>
          <w:szCs w:val="21"/>
        </w:rPr>
        <w:t xml:space="preserve">4.2	</w:t>
      </w:r>
      <w:r>
        <w:rPr>
          <w:rFonts w:ascii="Calibri" w:cs="Calibri" w:eastAsia="Calibri" w:hAnsi="Calibri"/>
          <w:sz w:val="21"/>
          <w:szCs w:val="21"/>
        </w:rPr>
        <w:t xml:space="preserve">An </w:t>
      </w:r>
      <w:r>
        <w:rPr>
          <w:rFonts w:ascii="Calibri" w:cs="Calibri" w:eastAsia="Calibri" w:hAnsi="Calibri"/>
          <w:b/>
          <w:bCs/>
          <w:sz w:val="21"/>
          <w:szCs w:val="21"/>
        </w:rPr>
        <w:t xml:space="preserve">itemised payslip</w:t>
      </w:r>
      <w:r>
        <w:rPr>
          <w:rFonts w:ascii="Calibri" w:cs="Calibri" w:eastAsia="Calibri" w:hAnsi="Calibri"/>
          <w:sz w:val="21"/>
          <w:szCs w:val="21"/>
        </w:rPr>
        <w:t xml:space="preserve"> must be issued with payment or within three working days, showing basic salary, each allowance individually, each deduction individually, overtime hours and pay, and net salary.</w:t>
      </w:r>
    </w:p>
    <w:p>
      <w:pPr>
        <w:spacing w:after="120" w:before="60" w:line="276"/>
        <w:ind w:left="720" w:hanging="720"/>
        <w:jc w:val="both"/>
      </w:pPr>
      <w:r>
        <w:rPr>
          <w:rFonts w:ascii="Calibri" w:cs="Calibri" w:eastAsia="Calibri" w:hAnsi="Calibri"/>
          <w:sz w:val="21"/>
          <w:szCs w:val="21"/>
        </w:rPr>
        <w:t xml:space="preserve">4.3	</w:t>
      </w:r>
      <w:r>
        <w:rPr>
          <w:rFonts w:ascii="Calibri" w:cs="Calibri" w:eastAsia="Calibri" w:hAnsi="Calibri"/>
          <w:b/>
          <w:bCs/>
          <w:sz w:val="21"/>
          <w:szCs w:val="21"/>
        </w:rPr>
        <w:t xml:space="preserve">[Where the worker is covered by Part IV of the Employment Act]</w:t>
      </w:r>
      <w:r>
        <w:rPr>
          <w:rFonts w:ascii="Calibri" w:cs="Calibri" w:eastAsia="Calibri" w:hAnsi="Calibri"/>
          <w:sz w:val="21"/>
          <w:szCs w:val="21"/>
        </w:rPr>
        <w:t xml:space="preserve"> Overtime is paid at </w:t>
      </w:r>
      <w:r>
        <w:rPr>
          <w:rFonts w:ascii="Calibri" w:cs="Calibri" w:eastAsia="Calibri" w:hAnsi="Calibri"/>
          <w:b/>
          <w:bCs/>
          <w:sz w:val="21"/>
          <w:szCs w:val="21"/>
        </w:rPr>
        <w:t xml:space="preserve">1.5 times</w:t>
      </w:r>
      <w:r>
        <w:rPr>
          <w:rFonts w:ascii="Calibri" w:cs="Calibri" w:eastAsia="Calibri" w:hAnsi="Calibri"/>
          <w:sz w:val="21"/>
          <w:szCs w:val="21"/>
        </w:rPr>
        <w:t xml:space="preserve"> the hourly basic rate, within fourteen days after the salary period.</w:t>
      </w:r>
    </w:p>
    <w:p>
      <w:pPr>
        <w:spacing w:after="120" w:before="60" w:line="276"/>
        <w:ind w:left="720" w:hanging="720"/>
        <w:jc w:val="both"/>
      </w:pPr>
      <w:r>
        <w:rPr>
          <w:rFonts w:ascii="Calibri" w:cs="Calibri" w:eastAsia="Calibri" w:hAnsi="Calibri"/>
          <w:sz w:val="21"/>
          <w:szCs w:val="21"/>
        </w:rPr>
        <w:t xml:space="preserve">4.4	</w:t>
      </w:r>
      <w:r>
        <w:rPr>
          <w:rFonts w:ascii="Calibri" w:cs="Calibri" w:eastAsia="Calibri" w:hAnsi="Calibri"/>
          <w:sz w:val="21"/>
          <w:szCs w:val="21"/>
        </w:rPr>
        <w:t xml:space="preserve">Central Provident Fund contributions are </w:t>
      </w:r>
      <w:r>
        <w:rPr>
          <w:rFonts w:ascii="Calibri" w:cs="Calibri" w:eastAsia="Calibri" w:hAnsi="Calibri"/>
          <w:b/>
          <w:bCs/>
          <w:sz w:val="21"/>
          <w:szCs w:val="21"/>
        </w:rPr>
        <w:t xml:space="preserve">not</w:t>
      </w:r>
      <w:r>
        <w:rPr>
          <w:rFonts w:ascii="Calibri" w:cs="Calibri" w:eastAsia="Calibri" w:hAnsi="Calibri"/>
          <w:sz w:val="21"/>
          <w:szCs w:val="21"/>
        </w:rPr>
        <w:t xml:space="preserve"> payable for Work Permit holders. The Skills Development Levy </w:t>
      </w:r>
      <w:r>
        <w:rPr>
          <w:rFonts w:ascii="Calibri" w:cs="Calibri" w:eastAsia="Calibri" w:hAnsi="Calibri"/>
          <w:b/>
          <w:bCs/>
          <w:sz w:val="21"/>
          <w:szCs w:val="21"/>
        </w:rPr>
        <w:t xml:space="preserve">is</w:t>
      </w:r>
      <w:r>
        <w:rPr>
          <w:rFonts w:ascii="Calibri" w:cs="Calibri" w:eastAsia="Calibri" w:hAnsi="Calibri"/>
          <w:sz w:val="21"/>
          <w:szCs w:val="21"/>
        </w:rPr>
        <w:t xml:space="preserve"> payable.</w:t>
      </w:r>
    </w:p>
    <w:p>
      <w:pPr>
        <w:spacing w:after="120" w:before="60" w:line="276"/>
        <w:ind w:left="720" w:hanging="720"/>
        <w:jc w:val="both"/>
      </w:pPr>
      <w:r>
        <w:rPr>
          <w:rFonts w:ascii="Calibri" w:cs="Calibri" w:eastAsia="Calibri" w:hAnsi="Calibri"/>
          <w:sz w:val="21"/>
          <w:szCs w:val="21"/>
        </w:rPr>
        <w:t xml:space="preserve">4.5	</w:t>
      </w:r>
      <w:r>
        <w:rPr>
          <w:rFonts w:ascii="Calibri" w:cs="Calibri" w:eastAsia="Calibri" w:hAnsi="Calibri"/>
          <w:sz w:val="21"/>
          <w:szCs w:val="21"/>
        </w:rPr>
        <w:t xml:space="preserve">Deductions for accommodation, amenities or services require the worker’s </w:t>
      </w:r>
      <w:r>
        <w:rPr>
          <w:rFonts w:ascii="Calibri" w:cs="Calibri" w:eastAsia="Calibri" w:hAnsi="Calibri"/>
          <w:b/>
          <w:bCs/>
          <w:sz w:val="21"/>
          <w:szCs w:val="21"/>
        </w:rPr>
        <w:t xml:space="preserve">written consent</w:t>
      </w:r>
      <w:r>
        <w:rPr>
          <w:rFonts w:ascii="Calibri" w:cs="Calibri" w:eastAsia="Calibri" w:hAnsi="Calibri"/>
          <w:sz w:val="21"/>
          <w:szCs w:val="21"/>
        </w:rPr>
        <w:t xml:space="preserve"> and must reflect actual cost. Deductions for damage require a separate due inquiry and are capped.</w:t>
      </w:r>
    </w:p>
    <w:p>
      <w:pPr>
        <w:keepNext/>
        <w:spacing w:after="120" w:before="280"/>
        <w:outlineLvl w:val="0"/>
      </w:pPr>
      <w:r>
        <w:rPr>
          <w:rFonts w:ascii="Calibri" w:cs="Calibri" w:eastAsia="Calibri" w:hAnsi="Calibri"/>
          <w:b/>
          <w:bCs/>
          <w:color w:val="14161B"/>
          <w:sz w:val="22"/>
          <w:szCs w:val="22"/>
        </w:rPr>
        <w:t xml:space="preserve">5. WELFARE</w:t>
      </w:r>
    </w:p>
    <w:p>
      <w:pPr>
        <w:spacing w:after="120" w:before="60" w:line="276"/>
        <w:ind w:left="720" w:hanging="720"/>
        <w:jc w:val="both"/>
      </w:pPr>
      <w:r>
        <w:rPr>
          <w:rFonts w:ascii="Calibri" w:cs="Calibri" w:eastAsia="Calibri" w:hAnsi="Calibri"/>
          <w:sz w:val="21"/>
          <w:szCs w:val="21"/>
        </w:rPr>
        <w:t xml:space="preserve">5.1	</w:t>
      </w:r>
      <w:r>
        <w:rPr>
          <w:rFonts w:ascii="Calibri" w:cs="Calibri" w:eastAsia="Calibri" w:hAnsi="Calibri"/>
          <w:sz w:val="21"/>
          <w:szCs w:val="21"/>
        </w:rPr>
        <w:t xml:space="preserve">The Company will ensure the worker understands their employment terms, in a language they understand, and will provide a copy.</w:t>
      </w:r>
    </w:p>
    <w:p>
      <w:pPr>
        <w:spacing w:after="120" w:before="60" w:line="276"/>
        <w:ind w:left="720" w:hanging="720"/>
        <w:jc w:val="both"/>
      </w:pPr>
      <w:r>
        <w:rPr>
          <w:rFonts w:ascii="Calibri" w:cs="Calibri" w:eastAsia="Calibri" w:hAnsi="Calibri"/>
          <w:sz w:val="21"/>
          <w:szCs w:val="21"/>
        </w:rPr>
        <w:t xml:space="preserve">5.2	</w:t>
      </w:r>
      <w:r>
        <w:rPr>
          <w:rFonts w:ascii="Calibri" w:cs="Calibri" w:eastAsia="Calibri" w:hAnsi="Calibri"/>
          <w:sz w:val="21"/>
          <w:szCs w:val="21"/>
        </w:rPr>
        <w:t xml:space="preserve">The Company will provide a means for the worker to raise concerns, including a contact who is not their direct supervisor, and will not treat a worker adversely for raising one.</w:t>
      </w:r>
    </w:p>
    <w:p>
      <w:pPr>
        <w:spacing w:after="120" w:before="60" w:line="276"/>
        <w:ind w:left="720" w:hanging="720"/>
        <w:jc w:val="both"/>
      </w:pPr>
      <w:r>
        <w:rPr>
          <w:rFonts w:ascii="Calibri" w:cs="Calibri" w:eastAsia="Calibri" w:hAnsi="Calibri"/>
          <w:sz w:val="21"/>
          <w:szCs w:val="21"/>
        </w:rPr>
        <w:t xml:space="preserve">5.3	</w:t>
      </w:r>
      <w:r>
        <w:rPr>
          <w:rFonts w:ascii="Calibri" w:cs="Calibri" w:eastAsia="Calibri" w:hAnsi="Calibri"/>
          <w:sz w:val="21"/>
          <w:szCs w:val="21"/>
        </w:rPr>
        <w:t xml:space="preserve">The Company will ensure rest days are provided in accordance with the Employment Act, and that any work on a rest day is voluntary and compensated as required.</w:t>
      </w:r>
    </w:p>
    <w:p>
      <w:pPr>
        <w:spacing w:after="120" w:before="60" w:line="276"/>
        <w:ind w:left="720" w:hanging="720"/>
        <w:jc w:val="both"/>
      </w:pPr>
      <w:r>
        <w:rPr>
          <w:rFonts w:ascii="Calibri" w:cs="Calibri" w:eastAsia="Calibri" w:hAnsi="Calibri"/>
          <w:sz w:val="21"/>
          <w:szCs w:val="21"/>
        </w:rPr>
        <w:t xml:space="preserve">5.4	</w:t>
      </w:r>
      <w:r>
        <w:rPr>
          <w:rFonts w:ascii="Calibri" w:cs="Calibri" w:eastAsia="Calibri" w:hAnsi="Calibri"/>
          <w:sz w:val="21"/>
          <w:szCs w:val="21"/>
        </w:rPr>
        <w:t xml:space="preserve">The Company will report any workplace accident or injury as required and will not discourage a work injury claim.</w:t>
      </w:r>
    </w:p>
    <w:p>
      <w:pPr>
        <w:spacing w:after="120" w:before="60" w:line="276"/>
        <w:ind w:left="720" w:hanging="720"/>
        <w:jc w:val="both"/>
      </w:pPr>
      <w:r>
        <w:rPr>
          <w:rFonts w:ascii="Calibri" w:cs="Calibri" w:eastAsia="Calibri" w:hAnsi="Calibri"/>
          <w:sz w:val="21"/>
          <w:szCs w:val="21"/>
        </w:rPr>
        <w:t xml:space="preserve">5.5	</w:t>
      </w:r>
      <w:r>
        <w:rPr>
          <w:rFonts w:ascii="Calibri" w:cs="Calibri" w:eastAsia="Calibri" w:hAnsi="Calibri"/>
          <w:sz w:val="21"/>
          <w:szCs w:val="21"/>
        </w:rPr>
        <w:t xml:space="preserve">The Company will keep the worker informed of permit expiry, renewal and any decision affecting their employment, in good time.</w:t>
      </w:r>
    </w:p>
    <w:p>
      <w:pPr>
        <w:keepNext/>
        <w:spacing w:after="120" w:before="280"/>
        <w:outlineLvl w:val="0"/>
      </w:pPr>
      <w:r>
        <w:rPr>
          <w:rFonts w:ascii="Calibri" w:cs="Calibri" w:eastAsia="Calibri" w:hAnsi="Calibri"/>
          <w:b/>
          <w:bCs/>
          <w:color w:val="14161B"/>
          <w:sz w:val="22"/>
          <w:szCs w:val="22"/>
        </w:rPr>
        <w:t xml:space="preserve">6. RENEWAL, CHANGE AND CANCELLATION</w:t>
      </w:r>
    </w:p>
    <w:p>
      <w:pPr>
        <w:spacing w:after="120" w:before="60" w:line="276"/>
        <w:ind w:left="720" w:hanging="720"/>
        <w:jc w:val="both"/>
      </w:pPr>
      <w:r>
        <w:rPr>
          <w:rFonts w:ascii="Calibri" w:cs="Calibri" w:eastAsia="Calibri" w:hAnsi="Calibri"/>
          <w:sz w:val="21"/>
          <w:szCs w:val="21"/>
        </w:rPr>
        <w:t xml:space="preserve">6.1	</w:t>
      </w:r>
      <w:r>
        <w:rPr>
          <w:rFonts w:ascii="Calibri" w:cs="Calibri" w:eastAsia="Calibri" w:hAnsi="Calibri"/>
          <w:sz w:val="21"/>
          <w:szCs w:val="21"/>
        </w:rPr>
        <w:t xml:space="preserve">Renewal must be applied for before expiry and is assessed against the criteria current at that time, including quota, levy and eligibility.</w:t>
      </w:r>
    </w:p>
    <w:p>
      <w:pPr>
        <w:spacing w:after="120" w:before="60" w:line="276"/>
        <w:ind w:left="720" w:hanging="720"/>
        <w:jc w:val="both"/>
      </w:pPr>
      <w:r>
        <w:rPr>
          <w:rFonts w:ascii="Calibri" w:cs="Calibri" w:eastAsia="Calibri" w:hAnsi="Calibri"/>
          <w:sz w:val="21"/>
          <w:szCs w:val="21"/>
        </w:rPr>
        <w:t xml:space="preserve">6.2	</w:t>
      </w:r>
      <w:r>
        <w:rPr>
          <w:rFonts w:ascii="Calibri" w:cs="Calibri" w:eastAsia="Calibri" w:hAnsi="Calibri"/>
          <w:sz w:val="21"/>
          <w:szCs w:val="21"/>
        </w:rPr>
        <w:t xml:space="preserve">Notify the authority of any change to the worker’s occupation, salary, accommodation address or workplace within the period required.</w:t>
      </w:r>
    </w:p>
    <w:p>
      <w:pPr>
        <w:spacing w:after="120" w:before="60" w:line="276"/>
        <w:ind w:left="720" w:hanging="720"/>
        <w:jc w:val="both"/>
      </w:pPr>
      <w:r>
        <w:rPr>
          <w:rFonts w:ascii="Calibri" w:cs="Calibri" w:eastAsia="Calibri" w:hAnsi="Calibri"/>
          <w:sz w:val="21"/>
          <w:szCs w:val="21"/>
        </w:rPr>
        <w:t xml:space="preserve">6.3	</w:t>
      </w:r>
      <w:r>
        <w:rPr>
          <w:rFonts w:ascii="Calibri" w:cs="Calibri" w:eastAsia="Calibri" w:hAnsi="Calibri"/>
          <w:sz w:val="21"/>
          <w:szCs w:val="21"/>
        </w:rPr>
        <w:t xml:space="preserve">On termination, cancel the permit within the period required, arrange repatriation, and complete tax clearance where applicable, withholding sums due pending the directive.</w:t>
      </w:r>
    </w:p>
    <w:p>
      <w:pPr>
        <w:spacing w:after="120" w:before="60" w:line="276"/>
        <w:ind w:left="720" w:hanging="720"/>
        <w:jc w:val="both"/>
      </w:pPr>
      <w:r>
        <w:rPr>
          <w:rFonts w:ascii="Calibri" w:cs="Calibri" w:eastAsia="Calibri" w:hAnsi="Calibri"/>
          <w:sz w:val="21"/>
          <w:szCs w:val="21"/>
        </w:rPr>
        <w:t xml:space="preserve">6.4	</w:t>
      </w:r>
      <w:r>
        <w:rPr>
          <w:rFonts w:ascii="Calibri" w:cs="Calibri" w:eastAsia="Calibri" w:hAnsi="Calibri"/>
          <w:sz w:val="21"/>
          <w:szCs w:val="21"/>
        </w:rPr>
        <w:t xml:space="preserve">The security bond is discharged only once the employer’s obligations, including repatriation, have been met.</w:t>
      </w:r>
    </w:p>
    <w:p>
      <w:pPr>
        <w:spacing w:after="120" w:before="60" w:line="276"/>
        <w:ind w:left="720" w:hanging="720"/>
        <w:jc w:val="both"/>
      </w:pPr>
      <w:r>
        <w:rPr>
          <w:rFonts w:ascii="Calibri" w:cs="Calibri" w:eastAsia="Calibri" w:hAnsi="Calibri"/>
          <w:sz w:val="21"/>
          <w:szCs w:val="21"/>
        </w:rPr>
        <w:t xml:space="preserve">6.5	</w:t>
      </w:r>
      <w:r>
        <w:rPr>
          <w:rFonts w:ascii="Calibri" w:cs="Calibri" w:eastAsia="Calibri" w:hAnsi="Calibri"/>
          <w:sz w:val="21"/>
          <w:szCs w:val="21"/>
        </w:rPr>
        <w:t xml:space="preserve">Levy continues until cancellation or expiry. Delay in cancelling is a direct and avoidable cost.</w:t>
      </w:r>
    </w:p>
    <w:p>
      <w:pPr>
        <w:spacing w:after="0" w:before="0" w:line="1"/>
      </w:pPr>
      <w:r>
        <w:br w:type="page"/>
      </w:r>
    </w:p>
    <w:p>
      <w:pPr>
        <w:spacing w:after="60" w:before="240"/>
        <w:jc w:val="center"/>
      </w:pPr>
      <w:r>
        <w:rPr>
          <w:rFonts w:ascii="Calibri" w:cs="Calibri" w:eastAsia="Calibri" w:hAnsi="Calibri"/>
          <w:b/>
          <w:bCs/>
          <w:color w:val="14161B"/>
          <w:spacing w:val="12"/>
          <w:sz w:val="28"/>
          <w:szCs w:val="28"/>
        </w:rPr>
        <w:t xml:space="preserve">ANNEXURE A</w:t>
      </w:r>
    </w:p>
    <w:p>
      <w:pPr>
        <w:spacing w:after="260"/>
        <w:jc w:val="center"/>
      </w:pPr>
      <w:r>
        <w:rPr>
          <w:rFonts w:ascii="Calibri" w:cs="Calibri" w:eastAsia="Calibri" w:hAnsi="Calibri"/>
          <w:i/>
          <w:iCs/>
          <w:color w:val="6E7480"/>
          <w:sz w:val="19"/>
          <w:szCs w:val="19"/>
        </w:rPr>
        <w:t xml:space="preserve">Levy and Cost Model</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276"/>
        <w:gridCol w:w="2698"/>
        <w:gridCol w:w="1831"/>
        <w:gridCol w:w="1833"/>
      </w:tblGrid>
      <w:tr>
        <w:trPr>
          <w:tblHeader/>
        </w:trPr>
        <w:tc>
          <w:tcPr>
            <w:tcW w:type="dxa" w:w="327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Item</w:t>
            </w:r>
          </w:p>
        </w:tc>
        <w:tc>
          <w:tcPr>
            <w:tcW w:type="dxa" w:w="2698"/>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Basis</w:t>
            </w:r>
          </w:p>
        </w:tc>
        <w:tc>
          <w:tcPr>
            <w:tcW w:type="dxa" w:w="1831"/>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Monthly (S$)</w:t>
            </w:r>
          </w:p>
        </w:tc>
        <w:tc>
          <w:tcPr>
            <w:tcW w:type="dxa" w:w="1833"/>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Annual (S$)</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Salary</w:t>
            </w:r>
          </w:p>
        </w:tc>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[AMOUNT]</w:t>
            </w:r>
          </w:p>
        </w:tc>
        <w:tc>
          <w:tcPr>
            <w:tcW w:type="dxa" w:w="1831"/>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c>
          <w:tcPr>
            <w:tcW w:type="dxa" w:w="1833"/>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Foreign worker levy</w:t>
            </w:r>
          </w:p>
        </w:tc>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[Skill level]</w:t>
            </w:r>
            <w:r>
              <w:rPr>
                <w:rFonts w:ascii="Calibri" w:cs="Calibri" w:eastAsia="Calibri" w:hAnsi="Calibri"/>
                <w:sz w:val="18"/>
                <w:szCs w:val="18"/>
              </w:rPr>
              <w:t xml:space="preserve">, </w:t>
            </w:r>
            <w:r>
              <w:rPr>
                <w:rFonts w:ascii="Calibri" w:cs="Calibri" w:eastAsia="Calibri" w:hAnsi="Calibri"/>
                <w:b/>
                <w:bCs/>
                <w:sz w:val="18"/>
                <w:szCs w:val="18"/>
              </w:rPr>
              <w:t xml:space="preserve">[quota tier]</w:t>
            </w:r>
          </w:p>
        </w:tc>
        <w:tc>
          <w:tcPr>
            <w:tcW w:type="dxa" w:w="1831"/>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c>
          <w:tcPr>
            <w:tcW w:type="dxa" w:w="1833"/>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Skills Development Levy</w:t>
            </w:r>
          </w:p>
        </w:tc>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Prescribed rate</w:t>
            </w:r>
          </w:p>
        </w:tc>
        <w:tc>
          <w:tcPr>
            <w:tcW w:type="dxa" w:w="1831"/>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c>
          <w:tcPr>
            <w:tcW w:type="dxa" w:w="1833"/>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Medical insurance</w:t>
            </w:r>
          </w:p>
        </w:tc>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Prescribed minimum cover</w:t>
            </w:r>
          </w:p>
        </w:tc>
        <w:tc>
          <w:tcPr>
            <w:tcW w:type="dxa" w:w="1831"/>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c>
          <w:tcPr>
            <w:tcW w:type="dxa" w:w="1833"/>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Work injury compensation insurance</w:t>
            </w:r>
          </w:p>
        </w:tc>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Statutory</w:t>
            </w:r>
          </w:p>
        </w:tc>
        <w:tc>
          <w:tcPr>
            <w:tcW w:type="dxa" w:w="1831"/>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c>
          <w:tcPr>
            <w:tcW w:type="dxa" w:w="1833"/>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Accommodation</w:t>
            </w:r>
          </w:p>
        </w:tc>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[TYPE]</w:t>
            </w:r>
          </w:p>
        </w:tc>
        <w:tc>
          <w:tcPr>
            <w:tcW w:type="dxa" w:w="1831"/>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c>
          <w:tcPr>
            <w:tcW w:type="dxa" w:w="1833"/>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[Primary care plan, where required]</w:t>
            </w:r>
          </w:p>
        </w:tc>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[DETAIL]</w:t>
            </w:r>
          </w:p>
        </w:tc>
        <w:tc>
          <w:tcPr>
            <w:tcW w:type="dxa" w:w="1831"/>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c>
          <w:tcPr>
            <w:tcW w:type="dxa" w:w="1833"/>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Security bond</w:t>
            </w:r>
          </w:p>
        </w:tc>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One-off, per worker where required</w:t>
            </w:r>
          </w:p>
        </w:tc>
        <w:tc>
          <w:tcPr>
            <w:tcW w:type="dxa" w:w="1831"/>
            <w:tcMar>
              <w:top w:type="dxa" w:w="70"/>
              <w:left w:type="dxa" w:w="100"/>
              <w:bottom w:type="dxa" w:w="70"/>
              <w:right w:type="dxa" w:w="100"/>
            </w:tcMar>
            <w:vAlign w:val="center"/>
          </w:tcPr>
          <w:p>
            <w:pPr>
              <w:spacing w:after="0" w:line="240"/>
              <w:jc w:val="right"/>
            </w:pPr>
            <w:r>
              <w:rPr>
                <w:rFonts w:ascii="Calibri" w:cs="Calibri" w:eastAsia="Calibri" w:hAnsi="Calibri"/>
                <w:sz w:val="18"/>
                <w:szCs w:val="18"/>
              </w:rPr>
              <w:t xml:space="preserve">—</w:t>
            </w:r>
          </w:p>
        </w:tc>
        <w:tc>
          <w:tcPr>
            <w:tcW w:type="dxa" w:w="1833"/>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Repatriation provision</w:t>
            </w:r>
          </w:p>
        </w:tc>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Estimated</w:t>
            </w:r>
          </w:p>
        </w:tc>
        <w:tc>
          <w:tcPr>
            <w:tcW w:type="dxa" w:w="1831"/>
            <w:tcMar>
              <w:top w:type="dxa" w:w="70"/>
              <w:left w:type="dxa" w:w="100"/>
              <w:bottom w:type="dxa" w:w="70"/>
              <w:right w:type="dxa" w:w="100"/>
            </w:tcMar>
            <w:vAlign w:val="center"/>
          </w:tcPr>
          <w:p>
            <w:pPr>
              <w:spacing w:after="0" w:line="240"/>
              <w:jc w:val="right"/>
            </w:pPr>
            <w:r>
              <w:rPr>
                <w:rFonts w:ascii="Calibri" w:cs="Calibri" w:eastAsia="Calibri" w:hAnsi="Calibri"/>
                <w:sz w:val="18"/>
                <w:szCs w:val="18"/>
              </w:rPr>
              <w:t xml:space="preserve">—</w:t>
            </w:r>
          </w:p>
        </w:tc>
        <w:tc>
          <w:tcPr>
            <w:tcW w:type="dxa" w:w="1833"/>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Total cost of employment</w:t>
            </w:r>
          </w:p>
        </w:tc>
        <w:tc>
          <w:tcPr>
            <w:tcW w:type="dxa" w:w="2698"/>
            <w:tcMar>
              <w:top w:type="dxa" w:w="70"/>
              <w:left w:type="dxa" w:w="100"/>
              <w:bottom w:type="dxa" w:w="70"/>
              <w:right w:type="dxa" w:w="100"/>
            </w:tcMar>
            <w:vAlign w:val="center"/>
          </w:tcPr>
          <w:p>
            <w:pPr>
              <w:spacing w:after="0" w:line="240"/>
              <w:jc w:val="left"/>
            </w:pPr>
          </w:p>
        </w:tc>
        <w:tc>
          <w:tcPr>
            <w:tcW w:type="dxa" w:w="1831"/>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c>
          <w:tcPr>
            <w:tcW w:type="dxa" w:w="1833"/>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Central Provident Fund</w:t>
            </w:r>
          </w:p>
        </w:tc>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Not payable</w:t>
            </w:r>
          </w:p>
        </w:tc>
        <w:tc>
          <w:tcPr>
            <w:tcW w:type="dxa" w:w="1831"/>
            <w:tcMar>
              <w:top w:type="dxa" w:w="70"/>
              <w:left w:type="dxa" w:w="100"/>
              <w:bottom w:type="dxa" w:w="70"/>
              <w:right w:type="dxa" w:w="100"/>
            </w:tcMar>
            <w:vAlign w:val="center"/>
          </w:tcPr>
          <w:p>
            <w:pPr>
              <w:spacing w:after="0" w:line="240"/>
              <w:jc w:val="right"/>
            </w:pPr>
            <w:r>
              <w:rPr>
                <w:rFonts w:ascii="Calibri" w:cs="Calibri" w:eastAsia="Calibri" w:hAnsi="Calibri"/>
                <w:sz w:val="18"/>
                <w:szCs w:val="18"/>
              </w:rPr>
              <w:t xml:space="preserve">—</w:t>
            </w:r>
          </w:p>
        </w:tc>
        <w:tc>
          <w:tcPr>
            <w:tcW w:type="dxa" w:w="1833"/>
            <w:tcMar>
              <w:top w:type="dxa" w:w="70"/>
              <w:left w:type="dxa" w:w="100"/>
              <w:bottom w:type="dxa" w:w="70"/>
              <w:right w:type="dxa" w:w="100"/>
            </w:tcMar>
            <w:vAlign w:val="center"/>
          </w:tcPr>
          <w:p>
            <w:pPr>
              <w:spacing w:after="0" w:line="240"/>
              <w:jc w:val="right"/>
            </w:pPr>
            <w:r>
              <w:rPr>
                <w:rFonts w:ascii="Calibri" w:cs="Calibri" w:eastAsia="Calibri" w:hAnsi="Calibri"/>
                <w:sz w:val="18"/>
                <w:szCs w:val="18"/>
              </w:rPr>
              <w:t xml:space="preserve">—</w:t>
            </w:r>
          </w:p>
        </w:tc>
      </w:tr>
    </w:tbl>
    <w:p>
      <w:pPr>
        <w:spacing w:after="160"/>
      </w:pPr>
    </w:p>
    <w:p>
      <w:pPr>
        <w:spacing w:after="60" w:before="240"/>
        <w:jc w:val="center"/>
      </w:pPr>
      <w:r>
        <w:rPr>
          <w:rFonts w:ascii="Calibri" w:cs="Calibri" w:eastAsia="Calibri" w:hAnsi="Calibri"/>
          <w:b/>
          <w:bCs/>
          <w:color w:val="14161B"/>
          <w:spacing w:val="12"/>
          <w:sz w:val="28"/>
          <w:szCs w:val="28"/>
        </w:rPr>
        <w:t xml:space="preserve">ANNEXURE B</w:t>
      </w:r>
    </w:p>
    <w:p>
      <w:pPr>
        <w:spacing w:after="260"/>
        <w:jc w:val="center"/>
      </w:pPr>
      <w:r>
        <w:rPr>
          <w:rFonts w:ascii="Calibri" w:cs="Calibri" w:eastAsia="Calibri" w:hAnsi="Calibri"/>
          <w:i/>
          <w:iCs/>
          <w:color w:val="6E7480"/>
          <w:sz w:val="19"/>
          <w:szCs w:val="19"/>
        </w:rPr>
        <w:t xml:space="preserve">Worker Register</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85"/>
        <w:gridCol w:w="1156"/>
        <w:gridCol w:w="867"/>
        <w:gridCol w:w="963"/>
        <w:gridCol w:w="771"/>
        <w:gridCol w:w="771"/>
        <w:gridCol w:w="963"/>
        <w:gridCol w:w="771"/>
        <w:gridCol w:w="1252"/>
        <w:gridCol w:w="963"/>
        <w:gridCol w:w="776"/>
      </w:tblGrid>
      <w:tr>
        <w:trPr>
          <w:tblHeader/>
        </w:trPr>
        <w:tc>
          <w:tcPr>
            <w:tcW w:type="dxa" w:w="38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w:t>
            </w:r>
          </w:p>
        </w:tc>
        <w:tc>
          <w:tcPr>
            <w:tcW w:type="dxa" w:w="115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Name</w:t>
            </w:r>
          </w:p>
        </w:tc>
        <w:tc>
          <w:tcPr>
            <w:tcW w:type="dxa" w:w="86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Permit no.</w:t>
            </w:r>
          </w:p>
        </w:tc>
        <w:tc>
          <w:tcPr>
            <w:tcW w:type="dxa" w:w="96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Occupation</w:t>
            </w:r>
          </w:p>
        </w:tc>
        <w:tc>
          <w:tcPr>
            <w:tcW w:type="dxa" w:w="77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Issued</w:t>
            </w:r>
          </w:p>
        </w:tc>
        <w:tc>
          <w:tcPr>
            <w:tcW w:type="dxa" w:w="77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Expires</w:t>
            </w:r>
          </w:p>
        </w:tc>
        <w:tc>
          <w:tcPr>
            <w:tcW w:type="dxa" w:w="96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Renewal started</w:t>
            </w:r>
          </w:p>
        </w:tc>
        <w:tc>
          <w:tcPr>
            <w:tcW w:type="dxa" w:w="77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Levy tier</w:t>
            </w:r>
          </w:p>
        </w:tc>
        <w:tc>
          <w:tcPr>
            <w:tcW w:type="dxa" w:w="125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Accommodation</w:t>
            </w:r>
          </w:p>
        </w:tc>
        <w:tc>
          <w:tcPr>
            <w:tcW w:type="dxa" w:w="96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Insurance to</w:t>
            </w:r>
          </w:p>
        </w:tc>
        <w:tc>
          <w:tcPr>
            <w:tcW w:type="dxa" w:w="77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Bond</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1</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[NAME]</w:t>
            </w:r>
          </w:p>
        </w:tc>
        <w:tc>
          <w:tcPr>
            <w:tcW w:type="dxa" w:w="867"/>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[NUMBER]</w:t>
            </w:r>
          </w:p>
        </w:tc>
        <w:tc>
          <w:tcPr>
            <w:tcW w:type="dxa" w:w="96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[ROLE]</w:t>
            </w:r>
          </w:p>
        </w:tc>
        <w:tc>
          <w:tcPr>
            <w:tcW w:type="dxa" w:w="771"/>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771"/>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96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771"/>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[TIER]</w:t>
            </w:r>
          </w:p>
        </w:tc>
        <w:tc>
          <w:tcPr>
            <w:tcW w:type="dxa" w:w="1252"/>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[ADDRESS]</w:t>
            </w:r>
          </w:p>
        </w:tc>
        <w:tc>
          <w:tcPr>
            <w:tcW w:type="dxa" w:w="96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776"/>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[S$]</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2</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[NAME]</w:t>
            </w:r>
          </w:p>
        </w:tc>
        <w:tc>
          <w:tcPr>
            <w:tcW w:type="dxa" w:w="867"/>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[NUMBER]</w:t>
            </w:r>
          </w:p>
        </w:tc>
        <w:tc>
          <w:tcPr>
            <w:tcW w:type="dxa" w:w="96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[ROLE]</w:t>
            </w:r>
          </w:p>
        </w:tc>
        <w:tc>
          <w:tcPr>
            <w:tcW w:type="dxa" w:w="771"/>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771"/>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96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771"/>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[TIER]</w:t>
            </w:r>
          </w:p>
        </w:tc>
        <w:tc>
          <w:tcPr>
            <w:tcW w:type="dxa" w:w="1252"/>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[ADDRESS]</w:t>
            </w:r>
          </w:p>
        </w:tc>
        <w:tc>
          <w:tcPr>
            <w:tcW w:type="dxa" w:w="96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776"/>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[S$]</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3</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[NAME]</w:t>
            </w:r>
          </w:p>
        </w:tc>
        <w:tc>
          <w:tcPr>
            <w:tcW w:type="dxa" w:w="867"/>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[NUMBER]</w:t>
            </w:r>
          </w:p>
        </w:tc>
        <w:tc>
          <w:tcPr>
            <w:tcW w:type="dxa" w:w="96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[ROLE]</w:t>
            </w:r>
          </w:p>
        </w:tc>
        <w:tc>
          <w:tcPr>
            <w:tcW w:type="dxa" w:w="771"/>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771"/>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96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771"/>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[TIER]</w:t>
            </w:r>
          </w:p>
        </w:tc>
        <w:tc>
          <w:tcPr>
            <w:tcW w:type="dxa" w:w="1252"/>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[ADDRESS]</w:t>
            </w:r>
          </w:p>
        </w:tc>
        <w:tc>
          <w:tcPr>
            <w:tcW w:type="dxa" w:w="96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776"/>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[S$]</w:t>
            </w:r>
          </w:p>
        </w:tc>
      </w:tr>
    </w:tbl>
    <w:p>
      <w:pPr>
        <w:keepNext/>
        <w:pageBreakBefore/>
        <w:spacing w:after="60" w:before="0"/>
      </w:pPr>
      <w:r>
        <w:rPr>
          <w:rFonts w:ascii="Calibri" w:cs="Calibri" w:eastAsia="Calibri" w:hAnsi="Calibri"/>
          <w:b/>
          <w:bCs/>
          <w:color w:val="14161B"/>
          <w:sz w:val="22"/>
          <w:szCs w:val="22"/>
        </w:rPr>
        <w:t xml:space="preserve">NOTES FOR USE</w:t>
      </w:r>
    </w:p>
    <w:p>
      <w:pPr>
        <w:pBdr>
          <w:bottom w:val="single" w:color="C9CCD3" w:sz="6" w:space="4"/>
        </w:pBdr>
        <w:spacing w:after="200"/>
      </w:pPr>
      <w:r>
        <w:rPr>
          <w:rFonts w:ascii="Calibri" w:cs="Calibri" w:eastAsia="Calibri" w:hAnsi="Calibri"/>
          <w:i/>
          <w:iCs/>
          <w:color w:val="6E7480"/>
          <w:sz w:val="17"/>
          <w:szCs w:val="17"/>
        </w:rPr>
        <w:t xml:space="preserve">Delete this page before execution. It is guidance, not part of the agreement.</w:t>
      </w:r>
    </w:p>
    <w:p>
      <w:pPr>
        <w:keepNext/>
        <w:spacing w:after="40" w:before="140"/>
      </w:pPr>
      <w:r>
        <w:rPr>
          <w:rFonts w:ascii="Calibri" w:cs="Calibri" w:eastAsia="Calibri" w:hAnsi="Calibri"/>
          <w:b/>
          <w:bCs/>
          <w:color w:val="14161B"/>
          <w:sz w:val="20"/>
          <w:szCs w:val="20"/>
        </w:rPr>
        <w:t xml:space="preserve">The obligations are the point, not the application</w:t>
      </w:r>
    </w:p>
    <w:p>
      <w:pPr>
        <w:spacing w:after="60" w:line="264"/>
        <w:jc w:val="both"/>
      </w:pPr>
      <w:r>
        <w:rPr>
          <w:rFonts w:ascii="Calibri" w:cs="Calibri" w:eastAsia="Calibri" w:hAnsi="Calibri"/>
          <w:sz w:val="19"/>
          <w:szCs w:val="19"/>
        </w:rPr>
        <w:t xml:space="preserve">Getting a Work Permit approved is the easy part. The continuing obligations — levy, bond, insurance, accommodation, upkeep, repatriation — run for the life of the permit and several outlast the employment. Model the total cost using Annexure A before deciding, because the salary is often the smaller half.</w:t>
      </w:r>
    </w:p>
    <w:p>
      <w:pPr>
        <w:keepNext/>
        <w:spacing w:after="40" w:before="140"/>
      </w:pPr>
      <w:r>
        <w:rPr>
          <w:rFonts w:ascii="Calibri" w:cs="Calibri" w:eastAsia="Calibri" w:hAnsi="Calibri"/>
          <w:b/>
          <w:bCs/>
          <w:color w:val="14161B"/>
          <w:sz w:val="20"/>
          <w:szCs w:val="20"/>
        </w:rPr>
        <w:t xml:space="preserve">Never recover the levy from the worker</w:t>
      </w:r>
    </w:p>
    <w:p>
      <w:pPr>
        <w:spacing w:after="60" w:line="264"/>
        <w:jc w:val="both"/>
      </w:pPr>
      <w:r>
        <w:rPr>
          <w:rFonts w:ascii="Calibri" w:cs="Calibri" w:eastAsia="Calibri" w:hAnsi="Calibri"/>
          <w:sz w:val="19"/>
          <w:szCs w:val="19"/>
        </w:rPr>
        <w:t xml:space="preserve">Passing the levy to the worker in any form is prohibited and is among the most heavily enforced contraventions. It includes indirect methods: structuring salary to absorb it, deducting it under another label, or arranging for an agent to collect it. It surfaces reliably when an employment relationship ends badly.</w:t>
      </w:r>
    </w:p>
    <w:p>
      <w:pPr>
        <w:keepNext/>
        <w:spacing w:after="40" w:before="140"/>
      </w:pPr>
      <w:r>
        <w:rPr>
          <w:rFonts w:ascii="Calibri" w:cs="Calibri" w:eastAsia="Calibri" w:hAnsi="Calibri"/>
          <w:b/>
          <w:bCs/>
          <w:color w:val="14161B"/>
          <w:sz w:val="20"/>
          <w:szCs w:val="20"/>
        </w:rPr>
        <w:t xml:space="preserve">Kickbacks carry criminal liability</w:t>
      </w:r>
    </w:p>
    <w:p>
      <w:pPr>
        <w:spacing w:after="60" w:line="264"/>
        <w:jc w:val="both"/>
      </w:pPr>
      <w:r>
        <w:rPr>
          <w:rFonts w:ascii="Calibri" w:cs="Calibri" w:eastAsia="Calibri" w:hAnsi="Calibri"/>
          <w:sz w:val="19"/>
          <w:szCs w:val="19"/>
        </w:rPr>
        <w:t xml:space="preserve">Receiving any payment from a worker or a third party in return for employment, renewal or continued employment is an offence. Arrangements where an agent collects a fee and remits part of it to the employer fall squarely within this. Employers have been prosecuted.</w:t>
      </w:r>
    </w:p>
    <w:p>
      <w:pPr>
        <w:keepNext/>
        <w:spacing w:after="40" w:before="140"/>
      </w:pPr>
      <w:r>
        <w:rPr>
          <w:rFonts w:ascii="Calibri" w:cs="Calibri" w:eastAsia="Calibri" w:hAnsi="Calibri"/>
          <w:b/>
          <w:bCs/>
          <w:color w:val="14161B"/>
          <w:sz w:val="20"/>
          <w:szCs w:val="20"/>
        </w:rPr>
        <w:t xml:space="preserve">Do not hold the worker’s passport or bank card</w:t>
      </w:r>
    </w:p>
    <w:p>
      <w:pPr>
        <w:spacing w:after="60" w:line="264"/>
        <w:jc w:val="both"/>
      </w:pPr>
      <w:r>
        <w:rPr>
          <w:rFonts w:ascii="Calibri" w:cs="Calibri" w:eastAsia="Calibri" w:hAnsi="Calibri"/>
          <w:sz w:val="19"/>
          <w:szCs w:val="19"/>
        </w:rPr>
        <w:t xml:space="preserve">Retaining a worker’s passport, permit card or bank card, or controlling their account, is prohibited. Employers sometimes do this believing it protects against absconding. It does not, and it is a serious contravention that also indicates other problems to an inspector.</w:t>
      </w:r>
    </w:p>
    <w:p>
      <w:pPr>
        <w:keepNext/>
        <w:spacing w:after="40" w:before="140"/>
      </w:pPr>
      <w:r>
        <w:rPr>
          <w:rFonts w:ascii="Calibri" w:cs="Calibri" w:eastAsia="Calibri" w:hAnsi="Calibri"/>
          <w:b/>
          <w:bCs/>
          <w:color w:val="14161B"/>
          <w:sz w:val="20"/>
          <w:szCs w:val="20"/>
        </w:rPr>
        <w:t xml:space="preserve">Repatriation is the employer’s cost, whatever the reason</w:t>
      </w:r>
    </w:p>
    <w:p>
      <w:pPr>
        <w:spacing w:after="60" w:line="264"/>
        <w:jc w:val="both"/>
      </w:pPr>
      <w:r>
        <w:rPr>
          <w:rFonts w:ascii="Calibri" w:cs="Calibri" w:eastAsia="Calibri" w:hAnsi="Calibri"/>
          <w:sz w:val="19"/>
          <w:szCs w:val="19"/>
        </w:rPr>
        <w:t xml:space="preserve">The obligation to send the worker home at the end of the employment falls on the employer, including where the worker is dismissed for misconduct or resigns. The security bond exists precisely to secure this and is forfeited where the obligation is not met.</w:t>
      </w:r>
    </w:p>
    <w:p>
      <w:pPr>
        <w:keepNext/>
        <w:spacing w:after="40" w:before="140"/>
      </w:pPr>
      <w:r>
        <w:rPr>
          <w:rFonts w:ascii="Calibri" w:cs="Calibri" w:eastAsia="Calibri" w:hAnsi="Calibri"/>
          <w:b/>
          <w:bCs/>
          <w:color w:val="14161B"/>
          <w:sz w:val="20"/>
          <w:szCs w:val="20"/>
        </w:rPr>
        <w:t xml:space="preserve">Levy runs while the permit runs</w:t>
      </w:r>
    </w:p>
    <w:p>
      <w:pPr>
        <w:spacing w:after="60" w:line="264"/>
        <w:jc w:val="both"/>
      </w:pPr>
      <w:r>
        <w:rPr>
          <w:rFonts w:ascii="Calibri" w:cs="Calibri" w:eastAsia="Calibri" w:hAnsi="Calibri"/>
          <w:sz w:val="19"/>
          <w:szCs w:val="19"/>
        </w:rPr>
        <w:t xml:space="preserve">Levy is payable for the whole period the permit is in force — through leave, absence, notice and hospitalisation — and stops only on cancellation or expiry. Employers who terminate but delay cancellation pay for every day of the gap for no benefit.</w:t>
      </w:r>
    </w:p>
    <w:p>
      <w:pPr>
        <w:keepNext/>
        <w:spacing w:after="40" w:before="140"/>
      </w:pPr>
      <w:r>
        <w:rPr>
          <w:rFonts w:ascii="Calibri" w:cs="Calibri" w:eastAsia="Calibri" w:hAnsi="Calibri"/>
          <w:b/>
          <w:bCs/>
          <w:color w:val="14161B"/>
          <w:sz w:val="20"/>
          <w:szCs w:val="20"/>
        </w:rPr>
        <w:t xml:space="preserve">Quota is computed from the local workforce</w:t>
      </w:r>
    </w:p>
    <w:p>
      <w:pPr>
        <w:spacing w:after="60" w:line="264"/>
        <w:jc w:val="both"/>
      </w:pPr>
      <w:r>
        <w:rPr>
          <w:rFonts w:ascii="Calibri" w:cs="Calibri" w:eastAsia="Calibri" w:hAnsi="Calibri"/>
          <w:sz w:val="19"/>
          <w:szCs w:val="19"/>
        </w:rPr>
        <w:t xml:space="preserve">The dependency ratio ceiling limits foreign workers as a proportion of the workforce, and the local count uses the Local Qualifying Salary basis — locals earning below it count fractionally or not at all. An employer with many low-paid local staff has a smaller quota base than headcount suggests.</w:t>
      </w:r>
    </w:p>
    <w:p>
      <w:pPr>
        <w:keepNext/>
        <w:spacing w:after="40" w:before="140"/>
      </w:pPr>
      <w:r>
        <w:rPr>
          <w:rFonts w:ascii="Calibri" w:cs="Calibri" w:eastAsia="Calibri" w:hAnsi="Calibri"/>
          <w:b/>
          <w:bCs/>
          <w:color w:val="14161B"/>
          <w:sz w:val="20"/>
          <w:szCs w:val="20"/>
        </w:rPr>
        <w:t xml:space="preserve">Medical insurance minimums have risen</w:t>
      </w:r>
    </w:p>
    <w:p>
      <w:pPr>
        <w:spacing w:after="60" w:line="264"/>
        <w:jc w:val="both"/>
      </w:pPr>
      <w:r>
        <w:rPr>
          <w:rFonts w:ascii="Calibri" w:cs="Calibri" w:eastAsia="Calibri" w:hAnsi="Calibri"/>
          <w:sz w:val="19"/>
          <w:szCs w:val="19"/>
        </w:rPr>
        <w:t xml:space="preserve">The prescribed minimum sum insured has been increased in recent years. A policy arranged some time ago may no longer meet the current requirement. Check the cover level, not merely that a policy exists, and diarise renewal.</w:t>
      </w:r>
    </w:p>
    <w:p>
      <w:pPr>
        <w:keepNext/>
        <w:spacing w:after="40" w:before="140"/>
      </w:pPr>
      <w:r>
        <w:rPr>
          <w:rFonts w:ascii="Calibri" w:cs="Calibri" w:eastAsia="Calibri" w:hAnsi="Calibri"/>
          <w:b/>
          <w:bCs/>
          <w:color w:val="14161B"/>
          <w:sz w:val="20"/>
          <w:szCs w:val="20"/>
        </w:rPr>
        <w:t xml:space="preserve">Accommodation is regulated</w:t>
      </w:r>
    </w:p>
    <w:p>
      <w:pPr>
        <w:spacing w:after="60" w:line="264"/>
        <w:jc w:val="both"/>
      </w:pPr>
      <w:r>
        <w:rPr>
          <w:rFonts w:ascii="Calibri" w:cs="Calibri" w:eastAsia="Calibri" w:hAnsi="Calibri"/>
          <w:sz w:val="19"/>
          <w:szCs w:val="19"/>
        </w:rPr>
        <w:t xml:space="preserve">Housing must meet the applicable standards, and the address must be kept current with the authority. Accommodation is a frequent subject of inspection and of enforcement action, and standards were tightened following public health experience.</w:t>
      </w:r>
    </w:p>
    <w:p>
      <w:pPr>
        <w:keepNext/>
        <w:spacing w:after="40" w:before="140"/>
      </w:pPr>
      <w:r>
        <w:rPr>
          <w:rFonts w:ascii="Calibri" w:cs="Calibri" w:eastAsia="Calibri" w:hAnsi="Calibri"/>
          <w:b/>
          <w:bCs/>
          <w:color w:val="14161B"/>
          <w:sz w:val="20"/>
          <w:szCs w:val="20"/>
        </w:rPr>
        <w:t xml:space="preserve">Itemised payslips and bank payment</w:t>
      </w:r>
    </w:p>
    <w:p>
      <w:pPr>
        <w:spacing w:after="60" w:line="264"/>
        <w:jc w:val="both"/>
      </w:pPr>
      <w:r>
        <w:rPr>
          <w:rFonts w:ascii="Calibri" w:cs="Calibri" w:eastAsia="Calibri" w:hAnsi="Calibri"/>
          <w:sz w:val="19"/>
          <w:szCs w:val="19"/>
        </w:rPr>
        <w:t xml:space="preserve">Salary must go into the worker’s own account and an itemised payslip must be issued. Cash payment without records is a contravention and makes any subsequent salary dispute impossible for the employer to defend, because the burden of showing what was paid falls on the party with the records.</w:t>
      </w:r>
    </w:p>
    <w:p>
      <w:pPr>
        <w:keepNext/>
        <w:spacing w:after="40" w:before="140"/>
      </w:pPr>
      <w:r>
        <w:rPr>
          <w:rFonts w:ascii="Calibri" w:cs="Calibri" w:eastAsia="Calibri" w:hAnsi="Calibri"/>
          <w:b/>
          <w:bCs/>
          <w:color w:val="14161B"/>
          <w:sz w:val="20"/>
          <w:szCs w:val="20"/>
        </w:rPr>
        <w:t xml:space="preserve">Deductions for accommodation need written consent</w:t>
      </w:r>
    </w:p>
    <w:p>
      <w:pPr>
        <w:spacing w:after="60" w:line="264"/>
        <w:jc w:val="both"/>
      </w:pPr>
      <w:r>
        <w:rPr>
          <w:rFonts w:ascii="Calibri" w:cs="Calibri" w:eastAsia="Calibri" w:hAnsi="Calibri"/>
          <w:sz w:val="19"/>
          <w:szCs w:val="19"/>
        </w:rPr>
        <w:t xml:space="preserve">Where accommodation, amenities or services are deducted, the worker’s written consent is required and the amount must reflect actual cost. The overall statutory limit on deductions in a salary period also applies.</w:t>
      </w:r>
    </w:p>
    <w:p>
      <w:pPr>
        <w:keepNext/>
        <w:spacing w:after="40" w:before="140"/>
      </w:pPr>
      <w:r>
        <w:rPr>
          <w:rFonts w:ascii="Calibri" w:cs="Calibri" w:eastAsia="Calibri" w:hAnsi="Calibri"/>
          <w:b/>
          <w:bCs/>
          <w:color w:val="14161B"/>
          <w:sz w:val="20"/>
          <w:szCs w:val="20"/>
        </w:rPr>
        <w:t xml:space="preserve">Never threaten cancellation to suppress a complaint</w:t>
      </w:r>
    </w:p>
    <w:p>
      <w:pPr>
        <w:spacing w:after="60" w:line="264"/>
        <w:jc w:val="both"/>
      </w:pPr>
      <w:r>
        <w:rPr>
          <w:rFonts w:ascii="Calibri" w:cs="Calibri" w:eastAsia="Calibri" w:hAnsi="Calibri"/>
          <w:sz w:val="19"/>
          <w:szCs w:val="19"/>
        </w:rPr>
        <w:t xml:space="preserve">Threatening repatriation or permit cancellation to deter a worker from making a salary complaint or a work injury claim is among the most serious things an employer can do here. It is also frequently the fact that turns a routine investigation into an enforcement action.</w:t>
      </w:r>
    </w:p>
    <w:p>
      <w:pPr>
        <w:keepNext/>
        <w:spacing w:after="40" w:before="140"/>
      </w:pPr>
      <w:r>
        <w:rPr>
          <w:rFonts w:ascii="Calibri" w:cs="Calibri" w:eastAsia="Calibri" w:hAnsi="Calibri"/>
          <w:b/>
          <w:bCs/>
          <w:color w:val="14161B"/>
          <w:sz w:val="20"/>
          <w:szCs w:val="20"/>
        </w:rPr>
        <w:t xml:space="preserve">Give the worker a route to raise concerns</w:t>
      </w:r>
    </w:p>
    <w:p>
      <w:pPr>
        <w:spacing w:after="60" w:line="264"/>
        <w:jc w:val="both"/>
      </w:pPr>
      <w:r>
        <w:rPr>
          <w:rFonts w:ascii="Calibri" w:cs="Calibri" w:eastAsia="Calibri" w:hAnsi="Calibri"/>
          <w:sz w:val="19"/>
          <w:szCs w:val="19"/>
        </w:rPr>
        <w:t xml:space="preserve">A worker who depends on the employer for their permit, their accommodation and their ability to remain in the country is the least likely person in the workforce to complain. Clause 5.2 requires a contact outside the direct supervisory line. Where there is a language barrier, provide the terms and the route in a language the worker understands.</w:t>
      </w:r>
    </w:p>
    <w:p>
      <w:pPr>
        <w:keepNext/>
        <w:spacing w:after="40" w:before="140"/>
      </w:pPr>
      <w:r>
        <w:rPr>
          <w:rFonts w:ascii="Calibri" w:cs="Calibri" w:eastAsia="Calibri" w:hAnsi="Calibri"/>
          <w:b/>
          <w:bCs/>
          <w:color w:val="14161B"/>
          <w:sz w:val="20"/>
          <w:szCs w:val="20"/>
        </w:rPr>
        <w:t xml:space="preserve">Debarment is the real risk</w:t>
      </w:r>
    </w:p>
    <w:p>
      <w:pPr>
        <w:spacing w:after="60" w:line="264"/>
        <w:jc w:val="both"/>
      </w:pPr>
      <w:r>
        <w:rPr>
          <w:rFonts w:ascii="Calibri" w:cs="Calibri" w:eastAsia="Calibri" w:hAnsi="Calibri"/>
          <w:sz w:val="19"/>
          <w:szCs w:val="19"/>
        </w:rPr>
        <w:t xml:space="preserve">Fines are recoverable; losing the ability to employ foreign workers is not. For a labour-dependent business, debarment following contraventions is an existential operational problem. That, rather than the penalty schedule, is the reason to run this properly.</w:t>
      </w:r>
    </w:p>
    <w:p>
      <w:pPr>
        <w:keepNext/>
        <w:spacing w:after="40" w:before="140"/>
      </w:pPr>
      <w:r>
        <w:rPr>
          <w:rFonts w:ascii="Calibri" w:cs="Calibri" w:eastAsia="Calibri" w:hAnsi="Calibri"/>
          <w:b/>
          <w:bCs/>
          <w:color w:val="14161B"/>
          <w:sz w:val="20"/>
          <w:szCs w:val="20"/>
        </w:rPr>
        <w:t xml:space="preserve">Current as of</w:t>
      </w:r>
    </w:p>
    <w:p>
      <w:pPr>
        <w:spacing w:after="60" w:line="264"/>
        <w:jc w:val="both"/>
      </w:pPr>
      <w:r>
        <w:rPr>
          <w:rFonts w:ascii="Calibri" w:cs="Calibri" w:eastAsia="Calibri" w:hAnsi="Calibri"/>
          <w:sz w:val="19"/>
          <w:szCs w:val="19"/>
        </w:rPr>
        <w:t xml:space="preserve">Reflects Singapore requirements current as of </w:t>
      </w:r>
      <w:r>
        <w:rPr>
          <w:rFonts w:ascii="Calibri" w:cs="Calibri" w:eastAsia="Calibri" w:hAnsi="Calibri"/>
          <w:b/>
          <w:bCs/>
          <w:sz w:val="19"/>
          <w:szCs w:val="19"/>
        </w:rPr>
        <w:t xml:space="preserve">[DATE OF USE]</w:t>
      </w:r>
      <w:r>
        <w:rPr>
          <w:rFonts w:ascii="Calibri" w:cs="Calibri" w:eastAsia="Calibri" w:hAnsi="Calibri"/>
          <w:sz w:val="19"/>
          <w:szCs w:val="19"/>
        </w:rPr>
        <w:t xml:space="preserve">. Dependency ratio ceilings, levy rates and tiers, source country eligibility, security bond amounts, medical insurance minimums, housing standards and the Local Qualifying Salary all change — confirm every figure with the Ministry of Manpower before each application and each renewal, and take advice where the sector is construction, marine shipyard or process.</w:t>
      </w:r>
    </w:p>
    <w:sectPr>
      <w:headerReference w:type="default" r:id="rId7"/>
      <w:headerReference w:type="first" r:id="rId8"/>
      <w:footerReference w:type="default" r:id="rId9"/>
      <w:footerReference w:type="first" r:id="rId10"/>
      <w:pgSz w:w="11906" w:h="16838" w:orient="portrait"/>
      <w:pgMar w:top="1080" w:right="1134" w:bottom="1080" w:left="1134"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CCD3" w:sz="6" w:space="6"/>
      </w:pBdr>
      <w:spacing w:after="200"/>
      <w:jc w:val="center"/>
    </w:pPr>
    <w:r>
      <w:rPr>
        <w:rFonts w:ascii="Calibri" w:cs="Calibri" w:eastAsia="Calibri" w:hAnsi="Calibri"/>
        <w:i/>
        <w:iCs/>
        <w:color w:val="6E7480"/>
        <w:sz w:val="17"/>
        <w:szCs w:val="17"/>
      </w:rPr>
      <w:t xml:space="preserve">[HEADER — replace with your organisation's letterhead, if used]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4161B"/>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Helion ERP</dc:creator>
  <dc:description>Template generated from www.helionerp.com</dc:description>
  <cp:lastModifiedBy>Un-named</cp:lastModifiedBy>
  <cp:revision>1</cp:revision>
  <dcterms:created xsi:type="dcterms:W3CDTF">2026-08-22T06:55:29.500Z</dcterms:created>
  <dcterms:modified xsi:type="dcterms:W3CDTF">2026-08-22T06:55:29.500Z</dcterms:modified>
</cp:coreProperties>
</file>

<file path=docProps/custom.xml><?xml version="1.0" encoding="utf-8"?>
<Properties xmlns="http://schemas.openxmlformats.org/officeDocument/2006/custom-properties" xmlns:vt="http://schemas.openxmlformats.org/officeDocument/2006/docPropsVTypes"/>
</file>