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WARNING LETTERS</w:t>
      </w:r>
    </w:p>
    <w:p>
      <w:pPr>
        <w:spacing w:after="260"/>
        <w:jc w:val="center"/>
      </w:pPr>
      <w:r>
        <w:rPr>
          <w:rFonts w:ascii="Calibri" w:cs="Calibri" w:eastAsia="Calibri" w:hAnsi="Calibri"/>
          <w:i/>
          <w:iCs/>
          <w:color w:val="6E7480"/>
          <w:sz w:val="19"/>
          <w:szCs w:val="19"/>
        </w:rPr>
        <w:t xml:space="preserve">Conduct warnings and performance improvement</w:t>
      </w:r>
    </w:p>
    <w:p>
      <w:pPr>
        <w:spacing w:after="180" w:before="0" w:line="276"/>
        <w:jc w:val="both"/>
      </w:pPr>
      <w:r>
        <w:rPr>
          <w:rFonts w:ascii="Calibri" w:cs="Calibri" w:eastAsia="Calibri" w:hAnsi="Calibri"/>
          <w:i/>
          <w:iCs/>
          <w:color w:val="6E7480"/>
          <w:sz w:val="21"/>
          <w:szCs w:val="21"/>
        </w:rPr>
        <w:t xml:space="preserve">Conduct and performance are different problems needing different processes. A conduct warning follows a due inquiry; a performance improvement plan does not, because performance shortfall is not misconduct. Employers that run one process for both either under-protect the employee on conduct, or over-formalise a performance conversation into something adversarial.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r>
              <w:rPr>
                <w:rFonts w:ascii="Calibri" w:cs="Calibri" w:eastAsia="Calibri" w:hAnsi="Calibri"/>
                <w:sz w:val="19"/>
                <w:szCs w:val="19"/>
              </w:rPr>
              <w:t xml:space="preserve">, employee number </w:t>
            </w: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[Conduct / Performance / Attendance]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Process applicable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[Due inquiry — conduct / Performance improvement — no inquiry required]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Stage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[Verbal, recorded / First written / Final written]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 warnings on record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[None / Date and subject]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Issued 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Warning remains active until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WHICH PROCESS APPLIES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1542"/>
        <w:gridCol w:w="2313"/>
        <w:gridCol w:w="2892"/>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Issue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Process</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Due inquiry required?</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Outcome available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of a rule or policy — dishonesty, insubordination, safety breach, harassment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Conduct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r>
              <w:rPr>
                <w:rFonts w:ascii="Calibri" w:cs="Calibri" w:eastAsia="Calibri" w:hAnsi="Calibri"/>
                <w:sz w:val="18"/>
                <w:szCs w:val="18"/>
              </w:rPr>
              <w:t xml:space="preserve">, before any warning, downgrading or dismissal</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Warning, final warning, downgrading, suspension, dismissal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meeting the requirements of the role despite effort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Performance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 but the process must still be fair and documented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Improvement plan, redeployment, termination on notice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Persistent lateness or unexplained absence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Conduct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for conduct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Absence due to genuine illness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Neither — </w:t>
            </w:r>
            <w:r>
              <w:rPr>
                <w:rFonts w:ascii="Calibri" w:cs="Calibri" w:eastAsia="Calibri" w:hAnsi="Calibri"/>
                <w:b/>
                <w:bCs/>
                <w:sz w:val="18"/>
                <w:szCs w:val="18"/>
              </w:rPr>
              <w:t xml:space="preserve">welfare and capability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Support, adjustments, medical assessment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Capability affected by disability or health condition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Capability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Reasonable adjustments first — see the notes</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Labelling a performance problem as misconduct in order to move faster is transparent and creates exposure. Labelling misconduct as a performance issue deprives the employee of the inquiry they are entitled to. Classify honestly at the outset.</w:t>
      </w:r>
    </w:p>
    <w:p>
      <w:pPr>
        <w:keepNext/>
        <w:spacing w:after="120" w:before="280"/>
        <w:outlineLvl w:val="0"/>
      </w:pPr>
      <w:r>
        <w:rPr>
          <w:rFonts w:ascii="Calibri" w:cs="Calibri" w:eastAsia="Calibri" w:hAnsi="Calibri"/>
          <w:b/>
          <w:bCs/>
          <w:color w:val="14161B"/>
          <w:sz w:val="22"/>
          <w:szCs w:val="22"/>
        </w:rPr>
        <w:t xml:space="preserve">2. PRINCIPLES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 warning states what happened, why it falls short, what must change, by when, and what follows if it does not.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A warning for </w:t>
      </w:r>
      <w:r>
        <w:rPr>
          <w:rFonts w:ascii="Calibri" w:cs="Calibri" w:eastAsia="Calibri" w:hAnsi="Calibri"/>
          <w:b/>
          <w:bCs/>
          <w:sz w:val="21"/>
          <w:szCs w:val="21"/>
        </w:rPr>
        <w:t xml:space="preserve">conduct</w:t>
      </w:r>
      <w:r>
        <w:rPr>
          <w:rFonts w:ascii="Calibri" w:cs="Calibri" w:eastAsia="Calibri" w:hAnsi="Calibri"/>
          <w:sz w:val="21"/>
          <w:szCs w:val="21"/>
        </w:rPr>
        <w:t xml:space="preserve"> is issued only after a due inquiry at which the allegation was put and the employee had a genuine opportunity to respond.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employee may be accompanied by a colleague at any meeting under this process.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Warnings will be applied consistently across comparable cases.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A warning remains active for a stated period and lapses at the end of it unless a further matter arises.</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The employee may respond in writing, and the response will be kept with the warning on the personnel file.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Written Warning — Conduct</w:t>
      </w:r>
    </w:p>
    <w:p>
      <w:pPr>
        <w:spacing w:after="120" w:before="0" w:line="276"/>
        <w:jc w:val="both"/>
      </w:pPr>
      <w:r>
        <w:rPr>
          <w:rFonts w:ascii="Calibri" w:cs="Calibri" w:eastAsia="Calibri" w:hAnsi="Calibri"/>
          <w:i/>
          <w:iCs/>
          <w:sz w:val="21"/>
          <w:szCs w:val="21"/>
        </w:rPr>
        <w:t xml:space="preserve">Issue only after a due inquiry has been completed.</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[First / Final]</w:t>
      </w:r>
      <w:r>
        <w:rPr>
          <w:rFonts w:ascii="Calibri" w:cs="Calibri" w:eastAsia="Calibri" w:hAnsi="Calibri"/>
          <w:b/>
          <w:bCs/>
          <w:sz w:val="21"/>
          <w:szCs w:val="21"/>
        </w:rPr>
        <w:t xml:space="preserve"> written warning</w:t>
      </w:r>
    </w:p>
    <w:p>
      <w:pPr>
        <w:spacing w:after="120" w:before="0" w:line="276"/>
        <w:jc w:val="both"/>
      </w:pPr>
      <w:r>
        <w:rPr>
          <w:rFonts w:ascii="Calibri" w:cs="Calibri" w:eastAsia="Calibri" w:hAnsi="Calibri"/>
          <w:sz w:val="21"/>
          <w:szCs w:val="21"/>
        </w:rPr>
        <w:t xml:space="preserve">An inquiry was held on </w:t>
      </w:r>
      <w:r>
        <w:rPr>
          <w:rFonts w:ascii="Calibri" w:cs="Calibri" w:eastAsia="Calibri" w:hAnsi="Calibri"/>
          <w:b/>
          <w:bCs/>
          <w:sz w:val="21"/>
          <w:szCs w:val="21"/>
        </w:rPr>
        <w:t xml:space="preserve">[DATE]</w:t>
      </w:r>
      <w:r>
        <w:rPr>
          <w:rFonts w:ascii="Calibri" w:cs="Calibri" w:eastAsia="Calibri" w:hAnsi="Calibri"/>
          <w:sz w:val="21"/>
          <w:szCs w:val="21"/>
        </w:rPr>
        <w:t xml:space="preserve">, conducted by </w:t>
      </w:r>
      <w:r>
        <w:rPr>
          <w:rFonts w:ascii="Calibri" w:cs="Calibri" w:eastAsia="Calibri" w:hAnsi="Calibri"/>
          <w:b/>
          <w:bCs/>
          <w:sz w:val="21"/>
          <w:szCs w:val="21"/>
        </w:rPr>
        <w:t xml:space="preserve">[NAME]</w:t>
      </w:r>
      <w:r>
        <w:rPr>
          <w:rFonts w:ascii="Calibri" w:cs="Calibri" w:eastAsia="Calibri" w:hAnsi="Calibri"/>
          <w:sz w:val="21"/>
          <w:szCs w:val="21"/>
        </w:rPr>
        <w:t xml:space="preserve">, into an allegation of misconduct. You were informed of the allegation on </w:t>
      </w:r>
      <w:r>
        <w:rPr>
          <w:rFonts w:ascii="Calibri" w:cs="Calibri" w:eastAsia="Calibri" w:hAnsi="Calibri"/>
          <w:b/>
          <w:bCs/>
          <w:sz w:val="21"/>
          <w:szCs w:val="21"/>
        </w:rPr>
        <w:t xml:space="preserve">[DATE]</w:t>
      </w:r>
      <w:r>
        <w:rPr>
          <w:rFonts w:ascii="Calibri" w:cs="Calibri" w:eastAsia="Calibri" w:hAnsi="Calibri"/>
          <w:sz w:val="21"/>
          <w:szCs w:val="21"/>
        </w:rPr>
        <w:t xml:space="preserve"> and had the opportunity to respond. This letter records the outcome.</w:t>
      </w:r>
    </w:p>
    <w:p>
      <w:pPr>
        <w:spacing w:after="120" w:before="0" w:line="276"/>
        <w:jc w:val="both"/>
      </w:pPr>
      <w:r>
        <w:rPr>
          <w:rFonts w:ascii="Calibri" w:cs="Calibri" w:eastAsia="Calibri" w:hAnsi="Calibri"/>
          <w:b/>
          <w:bCs/>
          <w:sz w:val="21"/>
          <w:szCs w:val="21"/>
        </w:rPr>
        <w:t xml:space="preserve">What was established.</w:t>
      </w:r>
      <w:r>
        <w:rPr>
          <w:rFonts w:ascii="Calibri" w:cs="Calibri" w:eastAsia="Calibri" w:hAnsi="Calibri"/>
          <w:sz w:val="21"/>
          <w:szCs w:val="21"/>
        </w:rPr>
        <w:t xml:space="preserve"> </w:t>
      </w:r>
      <w:r>
        <w:rPr>
          <w:rFonts w:ascii="Calibri" w:cs="Calibri" w:eastAsia="Calibri" w:hAnsi="Calibri"/>
          <w:b/>
          <w:bCs/>
          <w:sz w:val="21"/>
          <w:szCs w:val="21"/>
        </w:rPr>
        <w:t xml:space="preserve">[STATE THE FINDING AS A FACT — what happened, when, and why it breaches the specific provision of the contract, code of conduct or policy.]</w:t>
      </w:r>
    </w:p>
    <w:p>
      <w:pPr>
        <w:spacing w:after="120" w:before="0" w:line="276"/>
        <w:jc w:val="both"/>
      </w:pPr>
      <w:r>
        <w:rPr>
          <w:rFonts w:ascii="Calibri" w:cs="Calibri" w:eastAsia="Calibri" w:hAnsi="Calibri"/>
          <w:b/>
          <w:bCs/>
          <w:sz w:val="21"/>
          <w:szCs w:val="21"/>
        </w:rPr>
        <w:t xml:space="preserve">Your response.</w:t>
      </w:r>
      <w:r>
        <w:rPr>
          <w:rFonts w:ascii="Calibri" w:cs="Calibri" w:eastAsia="Calibri" w:hAnsi="Calibri"/>
          <w:sz w:val="21"/>
          <w:szCs w:val="21"/>
        </w:rPr>
        <w:t xml:space="preserve"> </w:t>
      </w:r>
      <w:r>
        <w:rPr>
          <w:rFonts w:ascii="Calibri" w:cs="Calibri" w:eastAsia="Calibri" w:hAnsi="Calibri"/>
          <w:b/>
          <w:bCs/>
          <w:sz w:val="21"/>
          <w:szCs w:val="21"/>
        </w:rPr>
        <w:t xml:space="preserve">[SUMMARISE FAIRLY WHAT THE EMPLOYEE SAID, INCLUDING ANY MITIGATION, AND WHY IT DID OR DID NOT CHANGE THE OUTCOME.]</w:t>
      </w:r>
    </w:p>
    <w:p>
      <w:pPr>
        <w:spacing w:after="120" w:before="0" w:line="276"/>
        <w:jc w:val="both"/>
      </w:pPr>
      <w:r>
        <w:rPr>
          <w:rFonts w:ascii="Calibri" w:cs="Calibri" w:eastAsia="Calibri" w:hAnsi="Calibri"/>
          <w:b/>
          <w:bCs/>
          <w:sz w:val="21"/>
          <w:szCs w:val="21"/>
        </w:rPr>
        <w:t xml:space="preserve">Decision.</w:t>
      </w:r>
      <w:r>
        <w:rPr>
          <w:rFonts w:ascii="Calibri" w:cs="Calibri" w:eastAsia="Calibri" w:hAnsi="Calibri"/>
          <w:sz w:val="21"/>
          <w:szCs w:val="21"/>
        </w:rPr>
        <w:t xml:space="preserve"> You are issued with a </w:t>
      </w:r>
      <w:r>
        <w:rPr>
          <w:rFonts w:ascii="Calibri" w:cs="Calibri" w:eastAsia="Calibri" w:hAnsi="Calibri"/>
          <w:b/>
          <w:bCs/>
          <w:sz w:val="21"/>
          <w:szCs w:val="21"/>
        </w:rPr>
        <w:t xml:space="preserve">[first / final]</w:t>
      </w:r>
      <w:r>
        <w:rPr>
          <w:rFonts w:ascii="Calibri" w:cs="Calibri" w:eastAsia="Calibri" w:hAnsi="Calibri"/>
          <w:b/>
          <w:bCs/>
          <w:sz w:val="21"/>
          <w:szCs w:val="21"/>
        </w:rPr>
        <w:t xml:space="preserve"> written warning</w:t>
      </w:r>
      <w:r>
        <w:rPr>
          <w:rFonts w:ascii="Calibri" w:cs="Calibri" w:eastAsia="Calibri" w:hAnsi="Calibri"/>
          <w:sz w:val="21"/>
          <w:szCs w:val="21"/>
        </w:rPr>
        <w:t xml:space="preserve">. In reaching this decision I took into account </w:t>
      </w:r>
      <w:r>
        <w:rPr>
          <w:rFonts w:ascii="Calibri" w:cs="Calibri" w:eastAsia="Calibri" w:hAnsi="Calibri"/>
          <w:b/>
          <w:bCs/>
          <w:sz w:val="21"/>
          <w:szCs w:val="21"/>
        </w:rPr>
        <w:t xml:space="preserve">[the seriousness of the conduct, your record and length of service, the mitigation you offered, and how comparable matters have been handled]</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What must change.</w:t>
      </w:r>
      <w:r>
        <w:rPr>
          <w:rFonts w:ascii="Calibri" w:cs="Calibri" w:eastAsia="Calibri" w:hAnsi="Calibri"/>
          <w:sz w:val="21"/>
          <w:szCs w:val="21"/>
        </w:rPr>
        <w:t xml:space="preserve"> </w:t>
      </w:r>
      <w:r>
        <w:rPr>
          <w:rFonts w:ascii="Calibri" w:cs="Calibri" w:eastAsia="Calibri" w:hAnsi="Calibri"/>
          <w:b/>
          <w:bCs/>
          <w:sz w:val="21"/>
          <w:szCs w:val="21"/>
        </w:rPr>
        <w:t xml:space="preserve">[STATE THE REQUIRED STANDARD SPECIFICALLY.]</w:t>
      </w:r>
    </w:p>
    <w:p>
      <w:pPr>
        <w:spacing w:after="120" w:before="0" w:line="276"/>
        <w:jc w:val="both"/>
      </w:pPr>
      <w:r>
        <w:rPr>
          <w:rFonts w:ascii="Calibri" w:cs="Calibri" w:eastAsia="Calibri" w:hAnsi="Calibri"/>
          <w:b/>
          <w:bCs/>
          <w:sz w:val="21"/>
          <w:szCs w:val="21"/>
        </w:rPr>
        <w:t xml:space="preserve">Duration.</w:t>
      </w:r>
      <w:r>
        <w:rPr>
          <w:rFonts w:ascii="Calibri" w:cs="Calibri" w:eastAsia="Calibri" w:hAnsi="Calibri"/>
          <w:sz w:val="21"/>
          <w:szCs w:val="21"/>
        </w:rPr>
        <w:t xml:space="preserve"> This warning remains active on your record until </w:t>
      </w:r>
      <w:r>
        <w:rPr>
          <w:rFonts w:ascii="Calibri" w:cs="Calibri" w:eastAsia="Calibri" w:hAnsi="Calibri"/>
          <w:b/>
          <w:bCs/>
          <w:sz w:val="21"/>
          <w:szCs w:val="21"/>
        </w:rPr>
        <w:t xml:space="preserve">[DATE]</w:t>
      </w:r>
      <w:r>
        <w:rPr>
          <w:rFonts w:ascii="Calibri" w:cs="Calibri" w:eastAsia="Calibri" w:hAnsi="Calibri"/>
          <w:sz w:val="21"/>
          <w:szCs w:val="21"/>
        </w:rPr>
        <w:t xml:space="preserve">, and will lapse then unless a further matter arises.</w:t>
      </w:r>
    </w:p>
    <w:p>
      <w:pPr>
        <w:spacing w:after="120" w:before="0" w:line="276"/>
        <w:jc w:val="both"/>
      </w:pPr>
      <w:r>
        <w:rPr>
          <w:rFonts w:ascii="Calibri" w:cs="Calibri" w:eastAsia="Calibri" w:hAnsi="Calibri"/>
          <w:b/>
          <w:bCs/>
          <w:sz w:val="21"/>
          <w:szCs w:val="21"/>
        </w:rPr>
        <w:t xml:space="preserve">If it happens again.</w:t>
      </w:r>
      <w:r>
        <w:rPr>
          <w:rFonts w:ascii="Calibri" w:cs="Calibri" w:eastAsia="Calibri" w:hAnsi="Calibri"/>
          <w:sz w:val="21"/>
          <w:szCs w:val="21"/>
        </w:rPr>
        <w:t xml:space="preserve"> Further misconduct while this warning is active may result in </w:t>
      </w:r>
      <w:r>
        <w:rPr>
          <w:rFonts w:ascii="Calibri" w:cs="Calibri" w:eastAsia="Calibri" w:hAnsi="Calibri"/>
          <w:b/>
          <w:bCs/>
          <w:sz w:val="21"/>
          <w:szCs w:val="21"/>
        </w:rPr>
        <w:t xml:space="preserve">[a final written warning / downgrading / dismissal]</w:t>
      </w:r>
      <w:r>
        <w:rPr>
          <w:rFonts w:ascii="Calibri" w:cs="Calibri" w:eastAsia="Calibri" w:hAnsi="Calibri"/>
          <w:sz w:val="21"/>
          <w:szCs w:val="21"/>
        </w:rPr>
        <w:t xml:space="preserve">. Any such step would follow a further due inquiry.</w:t>
      </w:r>
    </w:p>
    <w:p>
      <w:pPr>
        <w:spacing w:after="120" w:before="0" w:line="276"/>
        <w:jc w:val="both"/>
      </w:pPr>
      <w:r>
        <w:rPr>
          <w:rFonts w:ascii="Calibri" w:cs="Calibri" w:eastAsia="Calibri" w:hAnsi="Calibri"/>
          <w:b/>
          <w:bCs/>
          <w:sz w:val="21"/>
          <w:szCs w:val="21"/>
        </w:rPr>
        <w:t xml:space="preserve">Appeal.</w:t>
      </w:r>
      <w:r>
        <w:rPr>
          <w:rFonts w:ascii="Calibri" w:cs="Calibri" w:eastAsia="Calibri" w:hAnsi="Calibri"/>
          <w:sz w:val="21"/>
          <w:szCs w:val="21"/>
        </w:rPr>
        <w:t xml:space="preserve"> You may appeal in writing to </w:t>
      </w:r>
      <w:r>
        <w:rPr>
          <w:rFonts w:ascii="Calibri" w:cs="Calibri" w:eastAsia="Calibri" w:hAnsi="Calibri"/>
          <w:b/>
          <w:bCs/>
          <w:sz w:val="21"/>
          <w:szCs w:val="21"/>
        </w:rPr>
        <w:t xml:space="preserve">[DESIGNATION]</w:t>
      </w:r>
      <w:r>
        <w:rPr>
          <w:rFonts w:ascii="Calibri" w:cs="Calibri" w:eastAsia="Calibri" w:hAnsi="Calibri"/>
          <w:sz w:val="21"/>
          <w:szCs w:val="21"/>
        </w:rPr>
        <w:t xml:space="preserve"> within </w:t>
      </w:r>
      <w:r>
        <w:rPr>
          <w:rFonts w:ascii="Calibri" w:cs="Calibri" w:eastAsia="Calibri" w:hAnsi="Calibri"/>
          <w:b/>
          <w:bCs/>
          <w:sz w:val="21"/>
          <w:szCs w:val="21"/>
        </w:rPr>
        <w:t xml:space="preserve">[5]</w:t>
      </w:r>
      <w:r>
        <w:rPr>
          <w:rFonts w:ascii="Calibri" w:cs="Calibri" w:eastAsia="Calibri" w:hAnsi="Calibri"/>
          <w:sz w:val="21"/>
          <w:szCs w:val="21"/>
        </w:rPr>
        <w:t xml:space="preserve"> working days. The appeal will be considered by someone not involved in this decision.</w:t>
      </w:r>
    </w:p>
    <w:p>
      <w:pPr>
        <w:spacing w:after="160" w:before="0" w:line="276"/>
        <w:jc w:val="both"/>
      </w:pPr>
      <w:r>
        <w:rPr>
          <w:rFonts w:ascii="Calibri" w:cs="Calibri" w:eastAsia="Calibri" w:hAnsi="Calibri"/>
          <w:sz w:val="21"/>
          <w:szCs w:val="21"/>
        </w:rPr>
        <w:t xml:space="preserve">You may add a written response to your file. If there is anything affecting your work that we should know about, please tell me or </w:t>
      </w:r>
      <w:r>
        <w:rPr>
          <w:rFonts w:ascii="Calibri" w:cs="Calibri" w:eastAsia="Calibri" w:hAnsi="Calibri"/>
          <w:b/>
          <w:bCs/>
          <w:sz w:val="21"/>
          <w:szCs w:val="21"/>
        </w:rPr>
        <w:t xml:space="preserve">[NAME]</w:t>
      </w:r>
      <w:r>
        <w:rPr>
          <w:rFonts w:ascii="Calibri" w:cs="Calibri" w:eastAsia="Calibri" w:hAnsi="Calibri"/>
          <w:sz w:val="21"/>
          <w:szCs w:val="21"/>
        </w:rPr>
        <w:t xml:space="preserve">.</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Acknowledged — receipt only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Performance Improvement Plan</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Performance improvement plan</w:t>
      </w:r>
    </w:p>
    <w:p>
      <w:pPr>
        <w:spacing w:after="120" w:before="0" w:line="276"/>
        <w:jc w:val="both"/>
      </w:pPr>
      <w:r>
        <w:rPr>
          <w:rFonts w:ascii="Calibri" w:cs="Calibri" w:eastAsia="Calibri" w:hAnsi="Calibri"/>
          <w:sz w:val="21"/>
          <w:szCs w:val="21"/>
        </w:rPr>
        <w:t xml:space="preserve">We met on </w:t>
      </w:r>
      <w:r>
        <w:rPr>
          <w:rFonts w:ascii="Calibri" w:cs="Calibri" w:eastAsia="Calibri" w:hAnsi="Calibri"/>
          <w:b/>
          <w:bCs/>
          <w:sz w:val="21"/>
          <w:szCs w:val="21"/>
        </w:rPr>
        <w:t xml:space="preserve">[DATE]</w:t>
      </w:r>
      <w:r>
        <w:rPr>
          <w:rFonts w:ascii="Calibri" w:cs="Calibri" w:eastAsia="Calibri" w:hAnsi="Calibri"/>
          <w:sz w:val="21"/>
          <w:szCs w:val="21"/>
        </w:rPr>
        <w:t xml:space="preserve"> to discuss your performance. This letter records what we discussed, what needs to change, and how we will support you.</w:t>
      </w:r>
    </w:p>
    <w:p>
      <w:pPr>
        <w:spacing w:after="140" w:before="0" w:line="276"/>
        <w:jc w:val="both"/>
      </w:pPr>
      <w:r>
        <w:rPr>
          <w:rFonts w:ascii="Calibri" w:cs="Calibri" w:eastAsia="Calibri" w:hAnsi="Calibri"/>
          <w:b/>
          <w:bCs/>
          <w:sz w:val="21"/>
          <w:szCs w:val="21"/>
        </w:rPr>
        <w:t xml:space="preserve">Where performance falls short.</w:t>
      </w:r>
      <w:r>
        <w:rPr>
          <w:rFonts w:ascii="Calibri" w:cs="Calibri" w:eastAsia="Calibri" w:hAnsi="Calibri"/>
          <w:sz w:val="21"/>
          <w:szCs w:val="21"/>
        </w:rPr>
        <w:t xml:space="preserve"> </w:t>
      </w:r>
      <w:r>
        <w:rPr>
          <w:rFonts w:ascii="Calibri" w:cs="Calibri" w:eastAsia="Calibri" w:hAnsi="Calibri"/>
          <w:b/>
          <w:bCs/>
          <w:sz w:val="21"/>
          <w:szCs w:val="21"/>
        </w:rPr>
        <w:t xml:space="preserve">[BY REFERENCE TO THE REQUIREMENTS OF THE ROLE, WITH SPECIFIC EXAMPLES AND DATES. Not adjectives about the person.]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120"/>
        <w:gridCol w:w="2120"/>
        <w:gridCol w:w="2120"/>
        <w:gridCol w:w="1156"/>
        <w:gridCol w:w="1737"/>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Requirement</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Current position</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Required standard</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By when</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How measured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IS HAPPENING NOW]</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[OBSERVABLE STANDARD]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[EVIDENCE]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[CURRENT]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[STANDARD]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[EVIDENCE]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[CURRENT]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[STANDARD]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[EVIDENCE]</w:t>
            </w:r>
          </w:p>
        </w:tc>
      </w:tr>
    </w:tbl>
    <w:p>
      <w:pPr>
        <w:spacing w:after="140"/>
      </w:pPr>
    </w:p>
    <w:p>
      <w:pPr>
        <w:spacing w:after="100" w:before="0" w:line="276"/>
        <w:jc w:val="both"/>
      </w:pPr>
      <w:r>
        <w:rPr>
          <w:rFonts w:ascii="Calibri" w:cs="Calibri" w:eastAsia="Calibri" w:hAnsi="Calibri"/>
          <w:b/>
          <w:bCs/>
          <w:sz w:val="21"/>
          <w:szCs w:val="21"/>
        </w:rPr>
        <w:t xml:space="preserve">Support we will provide.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[TRAINING, COACHING OR MENTORING — who, what, when]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[CHANGES TO WORKLOAD, BRIEFING OR SUPERVISION]</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[REGULAR CHECK-INS — with whom and how often]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[ANY ADJUSTMENT REQUESTED OR REQUIRED FOR A HEALTH CONDITION OR DISABILITY]</w:t>
      </w:r>
    </w:p>
    <w:p>
      <w:pPr>
        <w:spacing w:after="120" w:before="120" w:line="276"/>
        <w:jc w:val="both"/>
      </w:pPr>
      <w:r>
        <w:rPr>
          <w:rFonts w:ascii="Calibri" w:cs="Calibri" w:eastAsia="Calibri" w:hAnsi="Calibri"/>
          <w:b/>
          <w:bCs/>
          <w:sz w:val="21"/>
          <w:szCs w:val="21"/>
        </w:rPr>
        <w:t xml:space="preserve">Review points.</w:t>
      </w:r>
      <w:r>
        <w:rPr>
          <w:rFonts w:ascii="Calibri" w:cs="Calibri" w:eastAsia="Calibri" w:hAnsi="Calibri"/>
          <w:sz w:val="21"/>
          <w:szCs w:val="21"/>
        </w:rPr>
        <w:t xml:space="preserve"> We will meet on </w:t>
      </w:r>
      <w:r>
        <w:rPr>
          <w:rFonts w:ascii="Calibri" w:cs="Calibri" w:eastAsia="Calibri" w:hAnsi="Calibri"/>
          <w:b/>
          <w:bCs/>
          <w:sz w:val="21"/>
          <w:szCs w:val="21"/>
        </w:rPr>
        <w:t xml:space="preserve">[DATES]</w:t>
      </w:r>
      <w:r>
        <w:rPr>
          <w:rFonts w:ascii="Calibri" w:cs="Calibri" w:eastAsia="Calibri" w:hAnsi="Calibri"/>
          <w:sz w:val="21"/>
          <w:szCs w:val="21"/>
        </w:rPr>
        <w:t xml:space="preserve"> to review progress, and you will receive written feedback at each meeting.</w:t>
      </w:r>
    </w:p>
    <w:p>
      <w:pPr>
        <w:spacing w:after="120" w:before="0" w:line="276"/>
        <w:jc w:val="both"/>
      </w:pPr>
      <w:r>
        <w:rPr>
          <w:rFonts w:ascii="Calibri" w:cs="Calibri" w:eastAsia="Calibri" w:hAnsi="Calibri"/>
          <w:b/>
          <w:bCs/>
          <w:sz w:val="21"/>
          <w:szCs w:val="21"/>
        </w:rPr>
        <w:t xml:space="preserve">Duration.</w:t>
      </w:r>
      <w:r>
        <w:rPr>
          <w:rFonts w:ascii="Calibri" w:cs="Calibri" w:eastAsia="Calibri" w:hAnsi="Calibri"/>
          <w:sz w:val="21"/>
          <w:szCs w:val="21"/>
        </w:rPr>
        <w:t xml:space="preserve"> This plan runs from </w:t>
      </w:r>
      <w:r>
        <w:rPr>
          <w:rFonts w:ascii="Calibri" w:cs="Calibri" w:eastAsia="Calibri" w:hAnsi="Calibri"/>
          <w:b/>
          <w:bCs/>
          <w:sz w:val="21"/>
          <w:szCs w:val="21"/>
        </w:rPr>
        <w:t xml:space="preserve">[DATE]</w:t>
      </w:r>
      <w:r>
        <w:rPr>
          <w:rFonts w:ascii="Calibri" w:cs="Calibri" w:eastAsia="Calibri" w:hAnsi="Calibri"/>
          <w:sz w:val="21"/>
          <w:szCs w:val="21"/>
        </w:rPr>
        <w:t xml:space="preserve"> to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Outcome.</w:t>
      </w:r>
      <w:r>
        <w:rPr>
          <w:rFonts w:ascii="Calibri" w:cs="Calibri" w:eastAsia="Calibri" w:hAnsi="Calibri"/>
          <w:sz w:val="21"/>
          <w:szCs w:val="21"/>
        </w:rPr>
        <w:t xml:space="preserve"> If the required standard is met, the plan ends and no further action is taken. If it is not met, the possible outcomes include an extension of the plan, redeployment to a different role where one is available and suitable, or termination of your employment on the contractual notice. I want to be clear about that now rather than have it come as a surprise.</w:t>
      </w:r>
    </w:p>
    <w:p>
      <w:pPr>
        <w:spacing w:after="160" w:before="0" w:line="276"/>
        <w:jc w:val="both"/>
      </w:pPr>
      <w:r>
        <w:rPr>
          <w:rFonts w:ascii="Calibri" w:cs="Calibri" w:eastAsia="Calibri" w:hAnsi="Calibri"/>
          <w:b/>
          <w:bCs/>
          <w:sz w:val="21"/>
          <w:szCs w:val="21"/>
        </w:rPr>
        <w:t xml:space="preserve">Is there something we should know?</w:t>
      </w:r>
      <w:r>
        <w:rPr>
          <w:rFonts w:ascii="Calibri" w:cs="Calibri" w:eastAsia="Calibri" w:hAnsi="Calibri"/>
          <w:sz w:val="21"/>
          <w:szCs w:val="21"/>
        </w:rPr>
        <w:t xml:space="preserve"> If anything is affecting your work — health, caring responsibilities, or something at work — please tell me or </w:t>
      </w:r>
      <w:r>
        <w:rPr>
          <w:rFonts w:ascii="Calibri" w:cs="Calibri" w:eastAsia="Calibri" w:hAnsi="Calibri"/>
          <w:b/>
          <w:bCs/>
          <w:sz w:val="21"/>
          <w:szCs w:val="21"/>
        </w:rPr>
        <w:t xml:space="preserve">[NAME]</w:t>
      </w:r>
      <w:r>
        <w:rPr>
          <w:rFonts w:ascii="Calibri" w:cs="Calibri" w:eastAsia="Calibri" w:hAnsi="Calibri"/>
          <w:sz w:val="21"/>
          <w:szCs w:val="21"/>
        </w:rPr>
        <w:t xml:space="preserve">. Where an adjustment would help, we will consider it. You may also request a flexible work arrangement, which we will consider under our policy.</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Acknowledged — receipt only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Manager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Warning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252"/>
        <w:gridCol w:w="867"/>
        <w:gridCol w:w="1156"/>
        <w:gridCol w:w="867"/>
        <w:gridCol w:w="1445"/>
        <w:gridCol w:w="1060"/>
        <w:gridCol w:w="963"/>
        <w:gridCol w:w="674"/>
        <w:gridCol w:w="969"/>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Employee</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Stage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Subject</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Due inquiry held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Active until</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Appeal</w:t>
            </w:r>
          </w:p>
        </w:tc>
        <w:tc>
          <w:tcPr>
            <w:tcW w:type="dxa" w:w="9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Outcome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[Conduct / Performance]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[STAGE]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[SUBJECT]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 / N/A]</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9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[OUTCOME]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[STAGE]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[SUBJECT]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9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[OUTCOME]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[STAGE]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[SUBJECT]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9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[OUTCOME]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D</w:t>
      </w:r>
    </w:p>
    <w:p>
      <w:pPr>
        <w:spacing w:after="260"/>
        <w:jc w:val="center"/>
      </w:pPr>
      <w:r>
        <w:rPr>
          <w:rFonts w:ascii="Calibri" w:cs="Calibri" w:eastAsia="Calibri" w:hAnsi="Calibri"/>
          <w:i/>
          <w:iCs/>
          <w:color w:val="6E7480"/>
          <w:sz w:val="19"/>
          <w:szCs w:val="19"/>
        </w:rPr>
        <w:t xml:space="preserve">Issuing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Issue correctly classified as conduct, performance or capability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conduct: due inquiry completed before the warning was decided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specific provision breached identified, or the specific role requirement not met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Facts stated with dates and examples, not characterisations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employee’s response recorded and addressed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Required standard stated so a third party could verify it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Support offered and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Consequences of no change stated plainly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Duration of the warning stated and diarised to lapse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Appeal route given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Consistency checked against comparable cases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health, disability, pregnancy or caregiving factor considered before issuing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Signed acknowledgement obtained, or refusal to sign recorded with a witness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Filed with the inquiry record and any employee response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Conduct and performance are not the same process</w:t>
      </w:r>
    </w:p>
    <w:p>
      <w:pPr>
        <w:spacing w:after="60" w:line="264"/>
        <w:jc w:val="both"/>
      </w:pPr>
      <w:r>
        <w:rPr>
          <w:rFonts w:ascii="Calibri" w:cs="Calibri" w:eastAsia="Calibri" w:hAnsi="Calibri"/>
          <w:sz w:val="19"/>
          <w:szCs w:val="19"/>
        </w:rPr>
        <w:t xml:space="preserve">A warning for misconduct requires a due inquiry under the Employment Act. A performance improvement plan does not, because falling short of a standard despite genuine effort is not misconduct. Running one process for both is the root of most defective dismissals — either the employee is denied an inquiry they were entitled to, or a performance conversation is turned into an adversarial hearing that damages the working relationship for no legal benefit.</w:t>
      </w:r>
    </w:p>
    <w:p>
      <w:pPr>
        <w:keepNext/>
        <w:spacing w:after="40" w:before="140"/>
      </w:pPr>
      <w:r>
        <w:rPr>
          <w:rFonts w:ascii="Calibri" w:cs="Calibri" w:eastAsia="Calibri" w:hAnsi="Calibri"/>
          <w:b/>
          <w:bCs/>
          <w:color w:val="14161B"/>
          <w:sz w:val="20"/>
          <w:szCs w:val="20"/>
        </w:rPr>
        <w:t xml:space="preserve">Due inquiry comes first, then the warning</w:t>
      </w:r>
    </w:p>
    <w:p>
      <w:pPr>
        <w:spacing w:after="60" w:line="264"/>
        <w:jc w:val="both"/>
      </w:pPr>
      <w:r>
        <w:rPr>
          <w:rFonts w:ascii="Calibri" w:cs="Calibri" w:eastAsia="Calibri" w:hAnsi="Calibri"/>
          <w:sz w:val="19"/>
          <w:szCs w:val="19"/>
        </w:rPr>
        <w:t xml:space="preserve">The order is not cosmetic. A warning drafted before the inquiry, and a meeting held to confirm a decision already made, is visible in the dates and undermines everything built on it later. Check 2 in Annexure D exists for this.</w:t>
      </w:r>
    </w:p>
    <w:p>
      <w:pPr>
        <w:keepNext/>
        <w:spacing w:after="40" w:before="140"/>
      </w:pPr>
      <w:r>
        <w:rPr>
          <w:rFonts w:ascii="Calibri" w:cs="Calibri" w:eastAsia="Calibri" w:hAnsi="Calibri"/>
          <w:b/>
          <w:bCs/>
          <w:color w:val="14161B"/>
          <w:sz w:val="20"/>
          <w:szCs w:val="20"/>
        </w:rPr>
        <w:t xml:space="preserve">State facts, not adjectives</w:t>
      </w:r>
    </w:p>
    <w:p>
      <w:pPr>
        <w:spacing w:after="60" w:line="264"/>
        <w:jc w:val="both"/>
      </w:pPr>
      <w:r>
        <w:rPr>
          <w:rFonts w:ascii="Calibri" w:cs="Calibri" w:eastAsia="Calibri" w:hAnsi="Calibri"/>
          <w:sz w:val="19"/>
          <w:szCs w:val="19"/>
        </w:rPr>
        <w:t xml:space="preserve">A warning recording that an employee is "unprofessional", "difficult" or "not a team player" cannot be answered, cannot be verified, and will not support a later dismissal. State what happened, on what date, and what standard it fell short of. If it cannot be written that way, it is not yet ready to be a warning.</w:t>
      </w:r>
    </w:p>
    <w:p>
      <w:pPr>
        <w:keepNext/>
        <w:spacing w:after="40" w:before="140"/>
      </w:pPr>
      <w:r>
        <w:rPr>
          <w:rFonts w:ascii="Calibri" w:cs="Calibri" w:eastAsia="Calibri" w:hAnsi="Calibri"/>
          <w:b/>
          <w:bCs/>
          <w:color w:val="14161B"/>
          <w:sz w:val="20"/>
          <w:szCs w:val="20"/>
        </w:rPr>
        <w:t xml:space="preserve">Requirements must be observable</w:t>
      </w:r>
    </w:p>
    <w:p>
      <w:pPr>
        <w:spacing w:after="60" w:line="264"/>
        <w:jc w:val="both"/>
      </w:pPr>
      <w:r>
        <w:rPr>
          <w:rFonts w:ascii="Calibri" w:cs="Calibri" w:eastAsia="Calibri" w:hAnsi="Calibri"/>
          <w:sz w:val="19"/>
          <w:szCs w:val="19"/>
        </w:rPr>
        <w:t xml:space="preserve">The improvement plan table asks for a required standard and how it will be measured. "Improve quality" is not a standard. "Reduce error rate on submitted files to below X per cent, measured by the monthly review, by 30 June" is. This protects the employee, who can see what is required, and the employer, who can show whether it was met.</w:t>
      </w:r>
    </w:p>
    <w:p>
      <w:pPr>
        <w:keepNext/>
        <w:spacing w:after="40" w:before="140"/>
      </w:pPr>
      <w:r>
        <w:rPr>
          <w:rFonts w:ascii="Calibri" w:cs="Calibri" w:eastAsia="Calibri" w:hAnsi="Calibri"/>
          <w:b/>
          <w:bCs/>
          <w:color w:val="14161B"/>
          <w:sz w:val="20"/>
          <w:szCs w:val="20"/>
        </w:rPr>
        <w:t xml:space="preserve">Offer real support</w:t>
      </w:r>
    </w:p>
    <w:p>
      <w:pPr>
        <w:spacing w:after="60" w:line="264"/>
        <w:jc w:val="both"/>
      </w:pPr>
      <w:r>
        <w:rPr>
          <w:rFonts w:ascii="Calibri" w:cs="Calibri" w:eastAsia="Calibri" w:hAnsi="Calibri"/>
          <w:sz w:val="19"/>
          <w:szCs w:val="19"/>
        </w:rPr>
        <w:t xml:space="preserve">A plan that lists requirements and offers nothing reads as a paper exercise preceding a dismissal, and is often exactly that. Where the employer has provided training, clearer briefs and regular feedback, a subsequent termination is straightforward to defend. Where it has not, the question becomes whether the employee was ever given a fair chance.</w:t>
      </w:r>
    </w:p>
    <w:p>
      <w:pPr>
        <w:keepNext/>
        <w:spacing w:after="40" w:before="140"/>
      </w:pPr>
      <w:r>
        <w:rPr>
          <w:rFonts w:ascii="Calibri" w:cs="Calibri" w:eastAsia="Calibri" w:hAnsi="Calibri"/>
          <w:b/>
          <w:bCs/>
          <w:color w:val="14161B"/>
          <w:sz w:val="20"/>
          <w:szCs w:val="20"/>
        </w:rPr>
        <w:t xml:space="preserve">Ask whether something else is going on</w:t>
      </w:r>
    </w:p>
    <w:p>
      <w:pPr>
        <w:spacing w:after="60" w:line="264"/>
        <w:jc w:val="both"/>
      </w:pPr>
      <w:r>
        <w:rPr>
          <w:rFonts w:ascii="Calibri" w:cs="Calibri" w:eastAsia="Calibri" w:hAnsi="Calibri"/>
          <w:sz w:val="19"/>
          <w:szCs w:val="19"/>
        </w:rPr>
        <w:t xml:space="preserve">Both letters ask. A significant proportion of sudden performance decline has a cause outside work — health, bereavement, caring responsibilities, financial stress — or inside it, such as a difficult manager or an unreported harassment issue. Asking costs one sentence and frequently changes the right course of action entirely.</w:t>
      </w:r>
    </w:p>
    <w:p>
      <w:pPr>
        <w:keepNext/>
        <w:spacing w:after="40" w:before="140"/>
      </w:pPr>
      <w:r>
        <w:rPr>
          <w:rFonts w:ascii="Calibri" w:cs="Calibri" w:eastAsia="Calibri" w:hAnsi="Calibri"/>
          <w:b/>
          <w:bCs/>
          <w:color w:val="14161B"/>
          <w:sz w:val="20"/>
          <w:szCs w:val="20"/>
        </w:rPr>
        <w:t xml:space="preserve">Health and disability change the analysis</w:t>
      </w:r>
    </w:p>
    <w:p>
      <w:pPr>
        <w:spacing w:after="60" w:line="264"/>
        <w:jc w:val="both"/>
      </w:pPr>
      <w:r>
        <w:rPr>
          <w:rFonts w:ascii="Calibri" w:cs="Calibri" w:eastAsia="Calibri" w:hAnsi="Calibri"/>
          <w:sz w:val="19"/>
          <w:szCs w:val="19"/>
        </w:rPr>
        <w:t xml:space="preserve">Where capability is affected by a disability or health condition, the first step is reasonable adjustment, not warning. Disability and mental health conditions are protected characteristics under the Workplace Fairness Act, which will make discrimination actionable when it commences at the end of 2027. A performance process run over an unaddressed health issue is a serious risk.</w:t>
      </w:r>
    </w:p>
    <w:p>
      <w:pPr>
        <w:keepNext/>
        <w:spacing w:after="40" w:before="140"/>
      </w:pPr>
      <w:r>
        <w:rPr>
          <w:rFonts w:ascii="Calibri" w:cs="Calibri" w:eastAsia="Calibri" w:hAnsi="Calibri"/>
          <w:b/>
          <w:bCs/>
          <w:color w:val="14161B"/>
          <w:sz w:val="20"/>
          <w:szCs w:val="20"/>
        </w:rPr>
        <w:t xml:space="preserve">Watch pregnancy, family leave and caregiving</w:t>
      </w:r>
    </w:p>
    <w:p>
      <w:pPr>
        <w:spacing w:after="60" w:line="264"/>
        <w:jc w:val="both"/>
      </w:pPr>
      <w:r>
        <w:rPr>
          <w:rFonts w:ascii="Calibri" w:cs="Calibri" w:eastAsia="Calibri" w:hAnsi="Calibri"/>
          <w:sz w:val="19"/>
          <w:szCs w:val="19"/>
        </w:rPr>
        <w:t xml:space="preserve">Performance processes commencing shortly after a pregnancy announcement, a period of family leave, or a flexible work request are the pattern most likely to be challenged. That does not make them impermissible, but it means the documentation must be strong and the timing explicable on its own terms.</w:t>
      </w:r>
    </w:p>
    <w:p>
      <w:pPr>
        <w:keepNext/>
        <w:spacing w:after="40" w:before="140"/>
      </w:pPr>
      <w:r>
        <w:rPr>
          <w:rFonts w:ascii="Calibri" w:cs="Calibri" w:eastAsia="Calibri" w:hAnsi="Calibri"/>
          <w:b/>
          <w:bCs/>
          <w:color w:val="14161B"/>
          <w:sz w:val="20"/>
          <w:szCs w:val="20"/>
        </w:rPr>
        <w:t xml:space="preserve">Consistency is half the defence</w:t>
      </w:r>
    </w:p>
    <w:p>
      <w:pPr>
        <w:spacing w:after="60" w:line="264"/>
        <w:jc w:val="both"/>
      </w:pPr>
      <w:r>
        <w:rPr>
          <w:rFonts w:ascii="Calibri" w:cs="Calibri" w:eastAsia="Calibri" w:hAnsi="Calibri"/>
          <w:sz w:val="19"/>
          <w:szCs w:val="19"/>
        </w:rPr>
        <w:t xml:space="preserve">The same conduct treated as a verbal caution for one employee and a final warning for another is the fact that decides a claim. The register in Annexure C is what makes consistency visible before the letter goes out, rather than in cross-examination.</w:t>
      </w:r>
    </w:p>
    <w:p>
      <w:pPr>
        <w:keepNext/>
        <w:spacing w:after="40" w:before="140"/>
      </w:pPr>
      <w:r>
        <w:rPr>
          <w:rFonts w:ascii="Calibri" w:cs="Calibri" w:eastAsia="Calibri" w:hAnsi="Calibri"/>
          <w:b/>
          <w:bCs/>
          <w:color w:val="14161B"/>
          <w:sz w:val="20"/>
          <w:szCs w:val="20"/>
        </w:rPr>
        <w:t xml:space="preserve">Warnings should lapse</w:t>
      </w:r>
    </w:p>
    <w:p>
      <w:pPr>
        <w:spacing w:after="60" w:line="264"/>
        <w:jc w:val="both"/>
      </w:pPr>
      <w:r>
        <w:rPr>
          <w:rFonts w:ascii="Calibri" w:cs="Calibri" w:eastAsia="Calibri" w:hAnsi="Calibri"/>
          <w:sz w:val="19"/>
          <w:szCs w:val="19"/>
        </w:rPr>
        <w:t xml:space="preserve">A warning that remains on file indefinitely is neither fair nor useful, and relying on a stale warning to justify dismissal invites the argument that the process was cumulative rather than responsive. State the duration and diarise the lapse.</w:t>
      </w:r>
    </w:p>
    <w:p>
      <w:pPr>
        <w:keepNext/>
        <w:spacing w:after="40" w:before="140"/>
      </w:pPr>
      <w:r>
        <w:rPr>
          <w:rFonts w:ascii="Calibri" w:cs="Calibri" w:eastAsia="Calibri" w:hAnsi="Calibri"/>
          <w:b/>
          <w:bCs/>
          <w:color w:val="14161B"/>
          <w:sz w:val="20"/>
          <w:szCs w:val="20"/>
        </w:rPr>
        <w:t xml:space="preserve">Give an appeal, and mean it</w:t>
      </w:r>
    </w:p>
    <w:p>
      <w:pPr>
        <w:spacing w:after="60" w:line="264"/>
        <w:jc w:val="both"/>
      </w:pPr>
      <w:r>
        <w:rPr>
          <w:rFonts w:ascii="Calibri" w:cs="Calibri" w:eastAsia="Calibri" w:hAnsi="Calibri"/>
          <w:sz w:val="19"/>
          <w:szCs w:val="19"/>
        </w:rPr>
        <w:t xml:space="preserve">An appeal considered by someone independent catches errors cheaply, at a stage when they can still be fixed. An appeal heard by the person who issued the warning is not an appeal, and its existence on paper makes the position worse rather than better.</w:t>
      </w:r>
    </w:p>
    <w:p>
      <w:pPr>
        <w:keepNext/>
        <w:spacing w:after="40" w:before="140"/>
      </w:pPr>
      <w:r>
        <w:rPr>
          <w:rFonts w:ascii="Calibri" w:cs="Calibri" w:eastAsia="Calibri" w:hAnsi="Calibri"/>
          <w:b/>
          <w:bCs/>
          <w:color w:val="14161B"/>
          <w:sz w:val="20"/>
          <w:szCs w:val="20"/>
        </w:rPr>
        <w:t xml:space="preserve">If the employee refuses to sign</w:t>
      </w:r>
    </w:p>
    <w:p>
      <w:pPr>
        <w:spacing w:after="60" w:line="264"/>
        <w:jc w:val="both"/>
      </w:pPr>
      <w:r>
        <w:rPr>
          <w:rFonts w:ascii="Calibri" w:cs="Calibri" w:eastAsia="Calibri" w:hAnsi="Calibri"/>
          <w:sz w:val="19"/>
          <w:szCs w:val="19"/>
        </w:rPr>
        <w:t xml:space="preserve">Acknowledgement is receipt, not agreement, and the letters say so. Where an employee refuses to sign, record the refusal, note that the letter was read aloud or handed over, and have a witness confirm it. Do not treat refusal to sign as further misconduct.</w:t>
      </w:r>
    </w:p>
    <w:p>
      <w:pPr>
        <w:keepNext/>
        <w:spacing w:after="40" w:before="140"/>
      </w:pPr>
      <w:r>
        <w:rPr>
          <w:rFonts w:ascii="Calibri" w:cs="Calibri" w:eastAsia="Calibri" w:hAnsi="Calibri"/>
          <w:b/>
          <w:bCs/>
          <w:color w:val="14161B"/>
          <w:sz w:val="20"/>
          <w:szCs w:val="20"/>
        </w:rPr>
        <w:t xml:space="preserve">Keep the response on file</w:t>
      </w:r>
    </w:p>
    <w:p>
      <w:pPr>
        <w:spacing w:after="60" w:line="264"/>
        <w:jc w:val="both"/>
      </w:pPr>
      <w:r>
        <w:rPr>
          <w:rFonts w:ascii="Calibri" w:cs="Calibri" w:eastAsia="Calibri" w:hAnsi="Calibri"/>
          <w:sz w:val="19"/>
          <w:szCs w:val="19"/>
        </w:rPr>
        <w:t xml:space="preserve">An employee’s written response, kept alongside the warning, demonstrates that the process allowed disagreement. Files containing only the employer’s account are less persuasive, not more.</w:t>
      </w:r>
    </w:p>
    <w:p>
      <w:pPr>
        <w:keepNext/>
        <w:spacing w:after="40" w:before="140"/>
      </w:pPr>
      <w:r>
        <w:rPr>
          <w:rFonts w:ascii="Calibri" w:cs="Calibri" w:eastAsia="Calibri" w:hAnsi="Calibri"/>
          <w:b/>
          <w:bCs/>
          <w:color w:val="14161B"/>
          <w:sz w:val="20"/>
          <w:szCs w:val="20"/>
        </w:rPr>
        <w:t xml:space="preserve">Where it ends in termination</w:t>
      </w:r>
    </w:p>
    <w:p>
      <w:pPr>
        <w:spacing w:after="60" w:line="264"/>
        <w:jc w:val="both"/>
      </w:pPr>
      <w:r>
        <w:rPr>
          <w:rFonts w:ascii="Calibri" w:cs="Calibri" w:eastAsia="Calibri" w:hAnsi="Calibri"/>
          <w:sz w:val="19"/>
          <w:szCs w:val="19"/>
        </w:rPr>
        <w:t xml:space="preserve">Termination following a performance process is on the contractual notice, with all sums payable on the last day. It is not dismissal for misconduct and should not be documented as such. Where the employee holds a work pass, tax clearance and withholding obligations apply from the moment the decision is known.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Due inquiry requirements, suspension limits, Tribunal claim limits and the pending Workplace Fairness Act all change, and a review of the Employment Act is under way with proposals expected in the second half of 2026 — take advice before issuing a final warning to a long-serving employee or anyone in the circumstances described above.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2026-08-22T06:55:29.273Z</dcterms:created>
  <dcterms:modified xsi:type="dcterms:W3CDTF">2026-08-22T06:55:29.273Z</dcterms:modified>
</cp:coreProperties>
</file>

<file path=docProps/custom.xml><?xml version="1.0" encoding="utf-8"?>
<Properties xmlns="http://schemas.openxmlformats.org/officeDocument/2006/custom-properties" xmlns:vt="http://schemas.openxmlformats.org/officeDocument/2006/docPropsVTypes"/>
</file>