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VESTING</w:t>
      </w:r>
    </w:p>
    <w:p>
      <w:pPr>
        <w:spacing w:after="260"/>
        <w:jc w:val="center"/>
      </w:pPr>
      <w:r>
        <w:rPr>
          <w:rFonts w:ascii="Calibri" w:cs="Calibri" w:eastAsia="Calibri" w:hAnsi="Calibri"/>
          <w:i/>
          <w:iCs/>
          <w:color w:val="6E7480"/>
          <w:sz w:val="19"/>
          <w:szCs w:val="19"/>
        </w:rPr>
        <w:t xml:space="preserve">Schedules, acceleration and founder vesting</w:t>
      </w:r>
    </w:p>
    <w:p>
      <w:pPr>
        <w:spacing w:after="180" w:before="0" w:line="276"/>
        <w:jc w:val="both"/>
      </w:pPr>
      <w:r>
        <w:rPr>
          <w:rFonts w:ascii="Calibri" w:cs="Calibri" w:eastAsia="Calibri" w:hAnsi="Calibri"/>
          <w:i/>
          <w:iCs/>
          <w:color w:val="6E7480"/>
          <w:sz w:val="21"/>
          <w:szCs w:val="21"/>
        </w:rPr>
        <w:t xml:space="preserve">Vesting exists to answer one question: what happens to equity when someone leaves early. Getting it wrong in either direction is expensive — a founder who walks after six months holding a quarter of the company, or a team that discovers a cliff nobody explained. Founder vesting in particular is easier to agree before an investor requires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Applies to</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[Employee options / Employee awards / Founder shares]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Standard schedule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w:t>
            </w:r>
            <w:r>
              <w:rPr>
                <w:rFonts w:ascii="Calibri" w:cs="Calibri" w:eastAsia="Calibri" w:hAnsi="Calibri"/>
                <w:sz w:val="19"/>
                <w:szCs w:val="19"/>
              </w:rPr>
              <w:t xml:space="preserve"> years, </w:t>
            </w:r>
            <w:r>
              <w:rPr>
                <w:rFonts w:ascii="Calibri" w:cs="Calibri" w:eastAsia="Calibri" w:hAnsi="Calibri"/>
                <w:b/>
                <w:bCs/>
                <w:sz w:val="19"/>
                <w:szCs w:val="19"/>
              </w:rPr>
              <w:t xml:space="preserve">[12]</w:t>
            </w:r>
            <w:r>
              <w:rPr>
                <w:rFonts w:ascii="Calibri" w:cs="Calibri" w:eastAsia="Calibri" w:hAnsi="Calibri"/>
                <w:sz w:val="19"/>
                <w:szCs w:val="19"/>
              </w:rPr>
              <w:t xml:space="preserve">-month cliff, then </w:t>
            </w:r>
            <w:r>
              <w:rPr>
                <w:rFonts w:ascii="Calibri" w:cs="Calibri" w:eastAsia="Calibri" w:hAnsi="Calibri"/>
                <w:b/>
                <w:bCs/>
                <w:sz w:val="19"/>
                <w:szCs w:val="19"/>
              </w:rPr>
              <w:t xml:space="preserve">[monthly]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Vesting commencement date basis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 of joining / Date of grant / Date agreed]</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Acceleration on exit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[None / Single trigger / Double trigger]</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Leaver treatment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[See the table in Section 4]</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SCHEDULE PATTERNS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698"/>
        <w:gridCol w:w="2120"/>
        <w:gridCol w:w="2700"/>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Pattern</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How it works</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Suits</w:t>
            </w:r>
          </w:p>
        </w:tc>
        <w:tc>
          <w:tcPr>
            <w:tcW w:type="dxa" w:w="27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Watch out for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4 years, 1-year cliff, then monthly</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Nothing vests for 12 months, then 25 per cent, then 1/48 monthly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Employees; the market default</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leaver at month 11 gets nothing — make sure they know</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4 years, no cliff, monthly from day one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1/48 each month</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Senior hires with negotiating power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Someone leaving at month two keeps a slice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3 years, annual instalments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One-third on each anniversary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awards; simpler to administer</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Lumpy — a leaver one day before an anniversary loses a full year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Back-weighted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Smaller early instalments, larger later ones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Retention over a long horizon</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Feels punitive; can deter acceptance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Milestone-based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Vests on defined outcomes rather than time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Advisers; performance awards</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Milestones must be objectively measurable or they generate disputes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Founder — 4 years with credit for time served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Vesting commencement backdated to when the founder actually started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Founders at a first financing</w:t>
            </w:r>
          </w:p>
        </w:tc>
        <w:tc>
          <w:tcPr>
            <w:tcW w:type="dxa" w:w="270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Investors will negotiate how much credit is given</w:t>
            </w:r>
          </w:p>
        </w:tc>
      </w:tr>
    </w:tbl>
    <w:p>
      <w:pPr>
        <w:spacing w:after="140"/>
      </w:pPr>
    </w:p>
    <w:p>
      <w:pPr>
        <w:keepNext/>
        <w:spacing w:after="120" w:before="280"/>
        <w:outlineLvl w:val="0"/>
      </w:pPr>
      <w:r>
        <w:rPr>
          <w:rFonts w:ascii="Calibri" w:cs="Calibri" w:eastAsia="Calibri" w:hAnsi="Calibri"/>
          <w:b/>
          <w:bCs/>
          <w:color w:val="14161B"/>
          <w:sz w:val="22"/>
          <w:szCs w:val="22"/>
        </w:rPr>
        <w:t xml:space="preserve">2. STANDARD SCHEDULE WORKED THROUGH</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3276"/>
        <w:gridCol w:w="2120"/>
        <w:gridCol w:w="1737"/>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Month from commencement</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Vesting event</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Cumulative vested</w:t>
            </w:r>
          </w:p>
        </w:tc>
        <w:tc>
          <w:tcPr>
            <w:tcW w:type="dxa" w:w="17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Percentage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0–11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Nothing — cliff period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0</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0%</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Cliff — 25 per cent vests in one step</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25%</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13–47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1/48 per month</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rising</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[Rising]</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50%</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75%</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Final instalment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p>
        </w:tc>
        <w:tc>
          <w:tcPr>
            <w:tcW w:type="dxa" w:w="173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100%</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w:t>
      </w:r>
      <w:r>
        <w:rPr>
          <w:rFonts w:ascii="Calibri" w:cs="Calibri" w:eastAsia="Calibri" w:hAnsi="Calibri"/>
          <w:b/>
          <w:bCs/>
          <w:sz w:val="21"/>
          <w:szCs w:val="21"/>
        </w:rPr>
        <w:t xml:space="preserve">cliff</w:t>
      </w:r>
      <w:r>
        <w:rPr>
          <w:rFonts w:ascii="Calibri" w:cs="Calibri" w:eastAsia="Calibri" w:hAnsi="Calibri"/>
          <w:sz w:val="21"/>
          <w:szCs w:val="21"/>
        </w:rPr>
        <w:t xml:space="preserve"> exists so that a short-tenure departure leaves nothing behind. Its cost is that someone who leaves at month eleven, for any reason including redundancy, receives nothing at all.</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i/>
          <w:iCs/>
          <w:sz w:val="21"/>
          <w:szCs w:val="21"/>
        </w:rPr>
        <w:t xml:space="preserve">Consider whether the cliff should fall away where the company terminates without cause. A cliff that punishes an employee for the company’s decision is difficult to defend internally.</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Vesting continues during paid statutory leave, including maternity, paternity, shared parental, childcare and medical leave.</w:t>
      </w:r>
    </w:p>
    <w:p>
      <w:pPr>
        <w:keepNext/>
        <w:spacing w:after="120" w:before="280"/>
        <w:outlineLvl w:val="0"/>
      </w:pPr>
      <w:r>
        <w:rPr>
          <w:rFonts w:ascii="Calibri" w:cs="Calibri" w:eastAsia="Calibri" w:hAnsi="Calibri"/>
          <w:b/>
          <w:bCs/>
          <w:color w:val="14161B"/>
          <w:sz w:val="22"/>
          <w:szCs w:val="22"/>
        </w:rPr>
        <w:t xml:space="preserve">3. FOUNDER VESTING</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Founder shares are usually issued in full at incorporation. Founder vesting makes some of those shares subject to </w:t>
      </w:r>
      <w:r>
        <w:rPr>
          <w:rFonts w:ascii="Calibri" w:cs="Calibri" w:eastAsia="Calibri" w:hAnsi="Calibri"/>
          <w:b/>
          <w:bCs/>
          <w:sz w:val="21"/>
          <w:szCs w:val="21"/>
        </w:rPr>
        <w:t xml:space="preserve">forfeiture or compulsory transfer</w:t>
      </w:r>
      <w:r>
        <w:rPr>
          <w:rFonts w:ascii="Calibri" w:cs="Calibri" w:eastAsia="Calibri" w:hAnsi="Calibri"/>
          <w:sz w:val="21"/>
          <w:szCs w:val="21"/>
        </w:rPr>
        <w:t xml:space="preserve"> if the founder leaves early.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The mechanism is a </w:t>
      </w:r>
      <w:r>
        <w:rPr>
          <w:rFonts w:ascii="Calibri" w:cs="Calibri" w:eastAsia="Calibri" w:hAnsi="Calibri"/>
          <w:b/>
          <w:bCs/>
          <w:sz w:val="21"/>
          <w:szCs w:val="21"/>
        </w:rPr>
        <w:t xml:space="preserve">reverse vesting</w:t>
      </w:r>
      <w:r>
        <w:rPr>
          <w:rFonts w:ascii="Calibri" w:cs="Calibri" w:eastAsia="Calibri" w:hAnsi="Calibri"/>
          <w:sz w:val="21"/>
          <w:szCs w:val="21"/>
        </w:rPr>
        <w:t xml:space="preserve"> provision: the founder holds the shares and votes them, but the Company or the other founders may buy back the unvested portion at </w:t>
      </w:r>
      <w:r>
        <w:rPr>
          <w:rFonts w:ascii="Calibri" w:cs="Calibri" w:eastAsia="Calibri" w:hAnsi="Calibri"/>
          <w:b/>
          <w:bCs/>
          <w:sz w:val="21"/>
          <w:szCs w:val="21"/>
        </w:rPr>
        <w:t xml:space="preserve">[nominal value / the amount paid]</w:t>
      </w:r>
      <w:r>
        <w:rPr>
          <w:rFonts w:ascii="Calibri" w:cs="Calibri" w:eastAsia="Calibri" w:hAnsi="Calibri"/>
          <w:sz w:val="21"/>
          <w:szCs w:val="21"/>
        </w:rPr>
        <w:t xml:space="preserve"> if the founder departs.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Founders should agree vesting </w:t>
      </w:r>
      <w:r>
        <w:rPr>
          <w:rFonts w:ascii="Calibri" w:cs="Calibri" w:eastAsia="Calibri" w:hAnsi="Calibri"/>
          <w:b/>
          <w:bCs/>
          <w:sz w:val="21"/>
          <w:szCs w:val="21"/>
        </w:rPr>
        <w:t xml:space="preserve">between themselves at the outset</w:t>
      </w:r>
      <w:r>
        <w:rPr>
          <w:rFonts w:ascii="Calibri" w:cs="Calibri" w:eastAsia="Calibri" w:hAnsi="Calibri"/>
          <w:sz w:val="21"/>
          <w:szCs w:val="21"/>
        </w:rPr>
        <w:t xml:space="preserve">. Where it is first imposed by an investor at a financing, it is negotiated under pressure and frequently causes lasting resentment.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276"/>
        <w:gridCol w:w="4049"/>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Question</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Options</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Period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[3 or 4]</w:t>
            </w:r>
            <w:r>
              <w:rPr>
                <w:rFonts w:ascii="Calibri" w:cs="Calibri" w:eastAsia="Calibri" w:hAnsi="Calibri"/>
                <w:sz w:val="17"/>
                <w:szCs w:val="17"/>
              </w:rPr>
              <w:t xml:space="preserve"> years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Four is the common investor expectation</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Credit for time already served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[None / Full / Partial — e.g. 12 months credited]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Founders who have worked for two years unpaid have a strong case for credit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Cliff</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[None / 12 months]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Often omitted for founders given time already served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Buyback price for unvested shares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[Nominal / Amount paid / Lower of cost and market]</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Nominal is standard; market value defeats the purpose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Good leaver treatment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[Vested retained; unvested bought back]</w:t>
            </w:r>
          </w:p>
        </w:tc>
        <w:tc>
          <w:tcPr>
            <w:tcW w:type="dxa" w:w="4049"/>
            <w:tcMar>
              <w:top w:type="dxa" w:w="70"/>
              <w:left w:type="dxa" w:w="100"/>
              <w:bottom w:type="dxa" w:w="70"/>
              <w:right w:type="dxa" w:w="100"/>
            </w:tcMar>
            <w:vAlign w:val="center"/>
          </w:tcPr>
          <w:p>
            <w:pPr>
              <w:spacing w:after="0" w:line="240"/>
              <w:jc w:val="left"/>
            </w:pP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Bad leaver treatment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[Vested also subject to buyback at cost]</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Keep the bad leaver definition narrow and serious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Acceleration on exit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[None / Single / Double trigger]</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Buyers dislike single trigger</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Voting and dividends on unvested shares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[Retained by the founder]</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Usually retained; confirm expressly</w:t>
            </w:r>
          </w:p>
        </w:tc>
      </w:tr>
    </w:tbl>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LEAVER TREATMENT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2313"/>
        <w:gridCol w:w="1927"/>
        <w:gridCol w:w="3085"/>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Circumstance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Unvested</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Vested</w:t>
            </w:r>
          </w:p>
        </w:tc>
        <w:tc>
          <w:tcPr>
            <w:tcW w:type="dxa" w:w="30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Comment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Resignation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Lapse or bought back</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default case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Termination without cause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[Lapse, or accelerate 6 to 12 months]</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Consider partial acceleration — the departure was not their choice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Redundancy or retrenchment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[Pro-rate]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Visible internally; harsh treatment is remembered by those who stay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Death</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Accelerate in full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Passes to the estate</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Extend the exercise window to 12 months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Permanent incapacity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Accelerate in full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Retained</w:t>
            </w:r>
          </w:p>
        </w:tc>
        <w:tc>
          <w:tcPr>
            <w:tcW w:type="dxa" w:w="3085"/>
            <w:tcMar>
              <w:top w:type="dxa" w:w="70"/>
              <w:left w:type="dxa" w:w="100"/>
              <w:bottom w:type="dxa" w:w="70"/>
              <w:right w:type="dxa" w:w="100"/>
            </w:tcMar>
            <w:vAlign w:val="center"/>
          </w:tcPr>
          <w:p>
            <w:pPr>
              <w:spacing w:after="0" w:line="240"/>
              <w:jc w:val="left"/>
            </w:pP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Retirement at or after the statutory retirement age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[Continue vesting / pro-rate]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Age is a protected characteristic — do not treat retirement worse than resignation</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Termination for cause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Lapse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[Lapse or bought back at cost]</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Define cause narrowly — broad definitions invite disputes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Breach of restrictive covenants after leaving</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Lapse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[Clawback where determined]</w:t>
            </w:r>
          </w:p>
        </w:tc>
        <w:tc>
          <w:tcPr>
            <w:tcW w:type="dxa" w:w="30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Keep the trigger serious and proportionate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Define "cause" precisely. A definition extending to "conduct the Board considers detrimental" gives the company a discretion that is easy to abuse and hard to defend, and it will be resisted by any adviser reviewing the document for the recipient.</w:t>
      </w:r>
    </w:p>
    <w:p>
      <w:pPr>
        <w:keepNext/>
        <w:spacing w:after="120" w:before="280"/>
        <w:outlineLvl w:val="0"/>
      </w:pPr>
      <w:r>
        <w:rPr>
          <w:rFonts w:ascii="Calibri" w:cs="Calibri" w:eastAsia="Calibri" w:hAnsi="Calibri"/>
          <w:b/>
          <w:bCs/>
          <w:color w:val="14161B"/>
          <w:sz w:val="22"/>
          <w:szCs w:val="22"/>
        </w:rPr>
        <w:t xml:space="preserve">5. ACCELERATION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855"/>
        <w:gridCol w:w="3663"/>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Type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What triggers it</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Effect on a sale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Cleanest for a buyer; least attractive to the team</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Single trigger</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control alone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Buyers dislike it — the team is fully vested on day one and free to leave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Double trigger</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 of control </w:t>
            </w:r>
            <w:r>
              <w:rPr>
                <w:rFonts w:ascii="Calibri" w:cs="Calibri" w:eastAsia="Calibri" w:hAnsi="Calibri"/>
                <w:b/>
                <w:bCs/>
                <w:sz w:val="18"/>
                <w:szCs w:val="18"/>
              </w:rPr>
              <w:t xml:space="preserve">and</w:t>
            </w:r>
            <w:r>
              <w:rPr>
                <w:rFonts w:ascii="Calibri" w:cs="Calibri" w:eastAsia="Calibri" w:hAnsi="Calibri"/>
                <w:sz w:val="18"/>
                <w:szCs w:val="18"/>
              </w:rPr>
              <w:t xml:space="preserve"> termination without cause or material demotion within </w:t>
            </w:r>
            <w:r>
              <w:rPr>
                <w:rFonts w:ascii="Calibri" w:cs="Calibri" w:eastAsia="Calibri" w:hAnsi="Calibri"/>
                <w:b/>
                <w:bCs/>
                <w:sz w:val="18"/>
                <w:szCs w:val="18"/>
              </w:rPr>
              <w:t xml:space="preserve">[12]</w:t>
            </w:r>
            <w:r>
              <w:rPr>
                <w:rFonts w:ascii="Calibri" w:cs="Calibri" w:eastAsia="Calibri" w:hAnsi="Calibri"/>
                <w:sz w:val="18"/>
                <w:szCs w:val="18"/>
              </w:rPr>
              <w:t xml:space="preserve"> months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usual compromise: protects the individual without undermining retention</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Partial single trigger</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[25–50]</w:t>
            </w:r>
            <w:r>
              <w:rPr>
                <w:rFonts w:ascii="Calibri" w:cs="Calibri" w:eastAsia="Calibri" w:hAnsi="Calibri"/>
                <w:sz w:val="18"/>
                <w:szCs w:val="18"/>
              </w:rPr>
              <w:t xml:space="preserve"> per cent accelerates on change of control; the rest continues</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Middle ground where the team has strong leverage</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Acceleration terms are a negotiating point in every acquisition. Where they are generous, buyers frequently require them to be waived or restructured as a condition, which puts the individuals in a difficult position at the worst moment.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Whatever applies, participants must be told </w:t>
      </w:r>
      <w:r>
        <w:rPr>
          <w:rFonts w:ascii="Calibri" w:cs="Calibri" w:eastAsia="Calibri" w:hAnsi="Calibri"/>
          <w:b/>
          <w:bCs/>
          <w:sz w:val="21"/>
          <w:szCs w:val="21"/>
        </w:rPr>
        <w:t xml:space="preserve">before completion</w:t>
      </w:r>
      <w:r>
        <w:rPr>
          <w:rFonts w:ascii="Calibri" w:cs="Calibri" w:eastAsia="Calibri" w:hAnsi="Calibri"/>
          <w:sz w:val="21"/>
          <w:szCs w:val="21"/>
        </w:rPr>
        <w:t xml:space="preserve"> — not less than </w:t>
      </w:r>
      <w:r>
        <w:rPr>
          <w:rFonts w:ascii="Calibri" w:cs="Calibri" w:eastAsia="Calibri" w:hAnsi="Calibri"/>
          <w:b/>
          <w:bCs/>
          <w:sz w:val="21"/>
          <w:szCs w:val="21"/>
        </w:rPr>
        <w:t xml:space="preserve">[14]</w:t>
      </w:r>
      <w:r>
        <w:rPr>
          <w:rFonts w:ascii="Calibri" w:cs="Calibri" w:eastAsia="Calibri" w:hAnsi="Calibri"/>
          <w:b/>
          <w:bCs/>
          <w:sz w:val="21"/>
          <w:szCs w:val="21"/>
        </w:rPr>
        <w:t xml:space="preserve"> days</w:t>
      </w:r>
      <w:r>
        <w:rPr>
          <w:rFonts w:ascii="Calibri" w:cs="Calibri" w:eastAsia="Calibri" w:hAnsi="Calibri"/>
          <w:sz w:val="21"/>
          <w:szCs w:val="21"/>
        </w:rPr>
        <w:t xml:space="preserve"> — so they can decide what to do.</w:t>
      </w:r>
    </w:p>
    <w:p>
      <w:pPr>
        <w:keepNext/>
        <w:spacing w:after="120" w:before="280"/>
        <w:outlineLvl w:val="0"/>
      </w:pPr>
      <w:r>
        <w:rPr>
          <w:rFonts w:ascii="Calibri" w:cs="Calibri" w:eastAsia="Calibri" w:hAnsi="Calibri"/>
          <w:b/>
          <w:bCs/>
          <w:color w:val="14161B"/>
          <w:sz w:val="22"/>
          <w:szCs w:val="22"/>
        </w:rPr>
        <w:t xml:space="preserve">6. ADMINISTRATION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vesting commencement date must be recorded for every grant and must not be changed without a documented decision.</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Vesting should be tracked continuously, not computed when someone leaves. The register should show, for each participant, granted, vested to date, exercised, lapsed and outstanding.</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Where vesting is suspended or accelerated for any individual, the reason must be recorded and the treatment compared against comparable cases for consistency.</w:t>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Vesting Tracker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
        <w:gridCol w:w="1156"/>
        <w:gridCol w:w="867"/>
        <w:gridCol w:w="867"/>
        <w:gridCol w:w="674"/>
        <w:gridCol w:w="867"/>
        <w:gridCol w:w="771"/>
        <w:gridCol w:w="578"/>
        <w:gridCol w:w="963"/>
        <w:gridCol w:w="771"/>
        <w:gridCol w:w="867"/>
        <w:gridCol w:w="968"/>
      </w:tblGrid>
      <w:tr>
        <w:trPr>
          <w:tblHeader/>
        </w:trPr>
        <w:tc>
          <w:tcPr>
            <w:tcW w:type="dxa" w:w="28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Participant</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Grant date</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Vesting start</w:t>
            </w:r>
          </w:p>
        </w:tc>
        <w:tc>
          <w:tcPr>
            <w:tcW w:type="dxa" w:w="67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Total</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Cliff date</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Vested now</w:t>
            </w:r>
          </w:p>
        </w:tc>
        <w:tc>
          <w:tcPr>
            <w:tcW w:type="dxa" w:w="57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Fully vested on</w:t>
            </w:r>
          </w:p>
        </w:tc>
        <w:tc>
          <w:tcPr>
            <w:tcW w:type="dxa" w:w="77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c>
          <w:tcPr>
            <w:tcW w:type="dxa" w:w="8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Leaver date</w:t>
            </w:r>
          </w:p>
        </w:tc>
        <w:tc>
          <w:tcPr>
            <w:tcW w:type="dxa" w:w="9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Window closes</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[Active]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c>
          <w:tcPr>
            <w:tcW w:type="dxa" w:w="968"/>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[Leaver]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96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r>
      <w:tr>
        <w:tc>
          <w:tcPr>
            <w:tcW w:type="dxa" w:w="289"/>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67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578"/>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7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[Active]</w:t>
            </w:r>
          </w:p>
        </w:tc>
        <w:tc>
          <w:tcPr>
            <w:tcW w:type="dxa" w:w="867"/>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c>
          <w:tcPr>
            <w:tcW w:type="dxa" w:w="968"/>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Agree founder vesting early, between founders</w:t>
      </w:r>
    </w:p>
    <w:p>
      <w:pPr>
        <w:spacing w:after="60" w:line="264"/>
        <w:jc w:val="both"/>
      </w:pPr>
      <w:r>
        <w:rPr>
          <w:rFonts w:ascii="Calibri" w:cs="Calibri" w:eastAsia="Calibri" w:hAnsi="Calibri"/>
          <w:sz w:val="19"/>
          <w:szCs w:val="19"/>
        </w:rPr>
        <w:t xml:space="preserve">Founder vesting protects the founders who stay from the one who leaves after six months holding a third of the company. Agreeing it at incorporation is a conversation between equals; having it imposed by an investor at a term sheet is a negotiation under pressure that damages relationships. The earlier conversation is uncomfortable and much cheaper.</w:t>
      </w:r>
    </w:p>
    <w:p>
      <w:pPr>
        <w:keepNext/>
        <w:spacing w:after="40" w:before="140"/>
      </w:pPr>
      <w:r>
        <w:rPr>
          <w:rFonts w:ascii="Calibri" w:cs="Calibri" w:eastAsia="Calibri" w:hAnsi="Calibri"/>
          <w:b/>
          <w:bCs/>
          <w:color w:val="14161B"/>
          <w:sz w:val="20"/>
          <w:szCs w:val="20"/>
        </w:rPr>
        <w:t xml:space="preserve">Credit for time already served</w:t>
      </w:r>
    </w:p>
    <w:p>
      <w:pPr>
        <w:spacing w:after="60" w:line="264"/>
        <w:jc w:val="both"/>
      </w:pPr>
      <w:r>
        <w:rPr>
          <w:rFonts w:ascii="Calibri" w:cs="Calibri" w:eastAsia="Calibri" w:hAnsi="Calibri"/>
          <w:sz w:val="19"/>
          <w:szCs w:val="19"/>
        </w:rPr>
        <w:t xml:space="preserve">Founders who have worked unpaid for two years before a financing have a strong case for that period counting towards vesting. Investors will negotiate the amount. Raise it explicitly rather than accepting a schedule that restarts the clock, which effectively values the earlier work at nothing.</w:t>
      </w:r>
    </w:p>
    <w:p>
      <w:pPr>
        <w:keepNext/>
        <w:spacing w:after="40" w:before="140"/>
      </w:pPr>
      <w:r>
        <w:rPr>
          <w:rFonts w:ascii="Calibri" w:cs="Calibri" w:eastAsia="Calibri" w:hAnsi="Calibri"/>
          <w:b/>
          <w:bCs/>
          <w:color w:val="14161B"/>
          <w:sz w:val="20"/>
          <w:szCs w:val="20"/>
        </w:rPr>
        <w:t xml:space="preserve">Reverse vesting keeps the founder a shareholder</w:t>
      </w:r>
    </w:p>
    <w:p>
      <w:pPr>
        <w:spacing w:after="60" w:line="264"/>
        <w:jc w:val="both"/>
      </w:pPr>
      <w:r>
        <w:rPr>
          <w:rFonts w:ascii="Calibri" w:cs="Calibri" w:eastAsia="Calibri" w:hAnsi="Calibri"/>
          <w:sz w:val="19"/>
          <w:szCs w:val="19"/>
        </w:rPr>
        <w:t xml:space="preserve">Founder shares are usually issued in full and made subject to buyback rather than issued progressively. The founder votes and receives dividends throughout; what is at risk is the unvested portion on early departure. Confirm the voting and dividend position expressly — it is frequently assumed rather than documented.</w:t>
      </w:r>
    </w:p>
    <w:p>
      <w:pPr>
        <w:keepNext/>
        <w:spacing w:after="40" w:before="140"/>
      </w:pPr>
      <w:r>
        <w:rPr>
          <w:rFonts w:ascii="Calibri" w:cs="Calibri" w:eastAsia="Calibri" w:hAnsi="Calibri"/>
          <w:b/>
          <w:bCs/>
          <w:color w:val="14161B"/>
          <w:sz w:val="20"/>
          <w:szCs w:val="20"/>
        </w:rPr>
        <w:t xml:space="preserve">Buyback at nominal, not market</w:t>
      </w:r>
    </w:p>
    <w:p>
      <w:pPr>
        <w:spacing w:after="60" w:line="264"/>
        <w:jc w:val="both"/>
      </w:pPr>
      <w:r>
        <w:rPr>
          <w:rFonts w:ascii="Calibri" w:cs="Calibri" w:eastAsia="Calibri" w:hAnsi="Calibri"/>
          <w:sz w:val="19"/>
          <w:szCs w:val="19"/>
        </w:rPr>
        <w:t xml:space="preserve">If unvested founder shares can be bought back only at market value, the provision achieves nothing — a departing founder is made whole and the remaining founders bear the cost. Nominal value or the amount paid is the standard and is what makes the mechanism work.</w:t>
      </w:r>
    </w:p>
    <w:p>
      <w:pPr>
        <w:keepNext/>
        <w:spacing w:after="40" w:before="140"/>
      </w:pPr>
      <w:r>
        <w:rPr>
          <w:rFonts w:ascii="Calibri" w:cs="Calibri" w:eastAsia="Calibri" w:hAnsi="Calibri"/>
          <w:b/>
          <w:bCs/>
          <w:color w:val="14161B"/>
          <w:sz w:val="20"/>
          <w:szCs w:val="20"/>
        </w:rPr>
        <w:t xml:space="preserve">Define cause narrowly</w:t>
      </w:r>
    </w:p>
    <w:p>
      <w:pPr>
        <w:spacing w:after="60" w:line="264"/>
        <w:jc w:val="both"/>
      </w:pPr>
      <w:r>
        <w:rPr>
          <w:rFonts w:ascii="Calibri" w:cs="Calibri" w:eastAsia="Calibri" w:hAnsi="Calibri"/>
          <w:sz w:val="19"/>
          <w:szCs w:val="19"/>
        </w:rPr>
        <w:t xml:space="preserve">A bad leaver definition extending to conduct the board considers detrimental hands the company a discretion that is easy to misuse and hard to defend. Confine it to dishonesty, serious misconduct, material breach and criminal conviction. Broad definitions are the single most contested point in leaver provisions.</w:t>
      </w:r>
    </w:p>
    <w:p>
      <w:pPr>
        <w:keepNext/>
        <w:spacing w:after="40" w:before="140"/>
      </w:pPr>
      <w:r>
        <w:rPr>
          <w:rFonts w:ascii="Calibri" w:cs="Calibri" w:eastAsia="Calibri" w:hAnsi="Calibri"/>
          <w:b/>
          <w:bCs/>
          <w:color w:val="14161B"/>
          <w:sz w:val="20"/>
          <w:szCs w:val="20"/>
        </w:rPr>
        <w:t xml:space="preserve">The cliff punishes redundancy too</w:t>
      </w:r>
    </w:p>
    <w:p>
      <w:pPr>
        <w:spacing w:after="60" w:line="264"/>
        <w:jc w:val="both"/>
      </w:pPr>
      <w:r>
        <w:rPr>
          <w:rFonts w:ascii="Calibri" w:cs="Calibri" w:eastAsia="Calibri" w:hAnsi="Calibri"/>
          <w:sz w:val="19"/>
          <w:szCs w:val="19"/>
        </w:rPr>
        <w:t xml:space="preserve">An employee made redundant at month eleven receives nothing, through no fault of their own. Consider disapplying the cliff, or pro-rating, where the company terminates without cause. It costs little and the alternative is visible to everyone who remains.</w:t>
      </w:r>
    </w:p>
    <w:p>
      <w:pPr>
        <w:keepNext/>
        <w:spacing w:after="40" w:before="140"/>
      </w:pPr>
      <w:r>
        <w:rPr>
          <w:rFonts w:ascii="Calibri" w:cs="Calibri" w:eastAsia="Calibri" w:hAnsi="Calibri"/>
          <w:b/>
          <w:bCs/>
          <w:color w:val="14161B"/>
          <w:sz w:val="20"/>
          <w:szCs w:val="20"/>
        </w:rPr>
        <w:t xml:space="preserve">Keep vesting running during family leave</w:t>
      </w:r>
    </w:p>
    <w:p>
      <w:pPr>
        <w:spacing w:after="60" w:line="264"/>
        <w:jc w:val="both"/>
      </w:pPr>
      <w:r>
        <w:rPr>
          <w:rFonts w:ascii="Calibri" w:cs="Calibri" w:eastAsia="Calibri" w:hAnsi="Calibri"/>
          <w:sz w:val="19"/>
          <w:szCs w:val="19"/>
        </w:rPr>
        <w:t xml:space="preserve">Suspending vesting during maternity, paternity, shared parental or medical leave disadvantages employees on protected grounds and will be hard to defend once the Workplace Fairness Act commences. Keep it running.</w:t>
      </w:r>
    </w:p>
    <w:p>
      <w:pPr>
        <w:keepNext/>
        <w:spacing w:after="40" w:before="140"/>
      </w:pPr>
      <w:r>
        <w:rPr>
          <w:rFonts w:ascii="Calibri" w:cs="Calibri" w:eastAsia="Calibri" w:hAnsi="Calibri"/>
          <w:b/>
          <w:bCs/>
          <w:color w:val="14161B"/>
          <w:sz w:val="20"/>
          <w:szCs w:val="20"/>
        </w:rPr>
        <w:t xml:space="preserve">Do not treat retirement worse than resignation</w:t>
      </w:r>
    </w:p>
    <w:p>
      <w:pPr>
        <w:spacing w:after="60" w:line="264"/>
        <w:jc w:val="both"/>
      </w:pPr>
      <w:r>
        <w:rPr>
          <w:rFonts w:ascii="Calibri" w:cs="Calibri" w:eastAsia="Calibri" w:hAnsi="Calibri"/>
          <w:sz w:val="19"/>
          <w:szCs w:val="19"/>
        </w:rPr>
        <w:t xml:space="preserve">Age is a protected characteristic, and the statutory retirement and re-employment framework already constrains how employers treat older workers. A leaver table that penalises retirement more heavily than resignation is a discrimination risk as well as poor practice.</w:t>
      </w:r>
    </w:p>
    <w:p>
      <w:pPr>
        <w:keepNext/>
        <w:spacing w:after="40" w:before="140"/>
      </w:pPr>
      <w:r>
        <w:rPr>
          <w:rFonts w:ascii="Calibri" w:cs="Calibri" w:eastAsia="Calibri" w:hAnsi="Calibri"/>
          <w:b/>
          <w:bCs/>
          <w:color w:val="14161B"/>
          <w:sz w:val="20"/>
          <w:szCs w:val="20"/>
        </w:rPr>
        <w:t xml:space="preserve">Double trigger is the usual answer on acceleration</w:t>
      </w:r>
    </w:p>
    <w:p>
      <w:pPr>
        <w:spacing w:after="60" w:line="264"/>
        <w:jc w:val="both"/>
      </w:pPr>
      <w:r>
        <w:rPr>
          <w:rFonts w:ascii="Calibri" w:cs="Calibri" w:eastAsia="Calibri" w:hAnsi="Calibri"/>
          <w:sz w:val="19"/>
          <w:szCs w:val="19"/>
        </w:rPr>
        <w:t xml:space="preserve">Single trigger leaves a buyer with a fully vested team free to walk on completion, which reduces what the buyer will pay or leads them to demand a restructure. Double trigger protects the individual against being acquired and then dismissed, without undermining the deal. Partial single trigger is the middle ground.</w:t>
      </w:r>
    </w:p>
    <w:p>
      <w:pPr>
        <w:keepNext/>
        <w:spacing w:after="40" w:before="140"/>
      </w:pPr>
      <w:r>
        <w:rPr>
          <w:rFonts w:ascii="Calibri" w:cs="Calibri" w:eastAsia="Calibri" w:hAnsi="Calibri"/>
          <w:b/>
          <w:bCs/>
          <w:color w:val="14161B"/>
          <w:sz w:val="20"/>
          <w:szCs w:val="20"/>
        </w:rPr>
        <w:t xml:space="preserve">Tell people before completion</w:t>
      </w:r>
    </w:p>
    <w:p>
      <w:pPr>
        <w:spacing w:after="60" w:line="264"/>
        <w:jc w:val="both"/>
      </w:pPr>
      <w:r>
        <w:rPr>
          <w:rFonts w:ascii="Calibri" w:cs="Calibri" w:eastAsia="Calibri" w:hAnsi="Calibri"/>
          <w:sz w:val="19"/>
          <w:szCs w:val="19"/>
        </w:rPr>
        <w:t xml:space="preserve">Whatever the acceleration position, participants need enough notice to decide whether to exercise, and to understand the tax. Fourteen days is a minimum. Discovering the treatment at completion, with no time to act, is how equity schemes generate lasting bitterness.</w:t>
      </w:r>
    </w:p>
    <w:p>
      <w:pPr>
        <w:keepNext/>
        <w:spacing w:after="40" w:before="140"/>
      </w:pPr>
      <w:r>
        <w:rPr>
          <w:rFonts w:ascii="Calibri" w:cs="Calibri" w:eastAsia="Calibri" w:hAnsi="Calibri"/>
          <w:b/>
          <w:bCs/>
          <w:color w:val="14161B"/>
          <w:sz w:val="20"/>
          <w:szCs w:val="20"/>
        </w:rPr>
        <w:t xml:space="preserve">Track vesting continuously</w:t>
      </w:r>
    </w:p>
    <w:p>
      <w:pPr>
        <w:spacing w:after="60" w:line="264"/>
        <w:jc w:val="both"/>
      </w:pPr>
      <w:r>
        <w:rPr>
          <w:rFonts w:ascii="Calibri" w:cs="Calibri" w:eastAsia="Calibri" w:hAnsi="Calibri"/>
          <w:sz w:val="19"/>
          <w:szCs w:val="19"/>
        </w:rPr>
        <w:t xml:space="preserve">Computing vesting when someone resigns invites error and dispute, particularly where the vesting commencement date was never properly recorded. The tracker should be current at all times, and it should be reconcilable to the option register and the cap table.</w:t>
      </w:r>
    </w:p>
    <w:p>
      <w:pPr>
        <w:keepNext/>
        <w:spacing w:after="40" w:before="140"/>
      </w:pPr>
      <w:r>
        <w:rPr>
          <w:rFonts w:ascii="Calibri" w:cs="Calibri" w:eastAsia="Calibri" w:hAnsi="Calibri"/>
          <w:b/>
          <w:bCs/>
          <w:color w:val="14161B"/>
          <w:sz w:val="20"/>
          <w:szCs w:val="20"/>
        </w:rPr>
        <w:t xml:space="preserve">Record the vesting commencement date and never move it quietly</w:t>
      </w:r>
    </w:p>
    <w:p>
      <w:pPr>
        <w:spacing w:after="60" w:line="264"/>
        <w:jc w:val="both"/>
      </w:pPr>
      <w:r>
        <w:rPr>
          <w:rFonts w:ascii="Calibri" w:cs="Calibri" w:eastAsia="Calibri" w:hAnsi="Calibri"/>
          <w:sz w:val="19"/>
          <w:szCs w:val="19"/>
        </w:rPr>
        <w:t xml:space="preserve">Backdating to reflect service already given is legitimate and common. Changing it later without a documented decision is not, and it is the kind of thing that surfaces in diligence as evidence of loose record-keeping.</w:t>
      </w:r>
    </w:p>
    <w:p>
      <w:pPr>
        <w:keepNext/>
        <w:spacing w:after="40" w:before="140"/>
      </w:pPr>
      <w:r>
        <w:rPr>
          <w:rFonts w:ascii="Calibri" w:cs="Calibri" w:eastAsia="Calibri" w:hAnsi="Calibri"/>
          <w:b/>
          <w:bCs/>
          <w:color w:val="14161B"/>
          <w:sz w:val="20"/>
          <w:szCs w:val="20"/>
        </w:rPr>
        <w:t xml:space="preserve">Be consistent between comparable leavers</w:t>
      </w:r>
    </w:p>
    <w:p>
      <w:pPr>
        <w:spacing w:after="60" w:line="264"/>
        <w:jc w:val="both"/>
      </w:pPr>
      <w:r>
        <w:rPr>
          <w:rFonts w:ascii="Calibri" w:cs="Calibri" w:eastAsia="Calibri" w:hAnsi="Calibri"/>
          <w:sz w:val="19"/>
          <w:szCs w:val="19"/>
        </w:rPr>
        <w:t xml:space="preserve">Exercising discretion generously for one departing employee and not another, in similar circumstances, is noticed and remembered. Where discretion is exercised, record the reason — it forces the comparison to be made deliberately.</w:t>
      </w:r>
    </w:p>
    <w:p>
      <w:pPr>
        <w:keepNext/>
        <w:spacing w:after="40" w:before="140"/>
      </w:pPr>
      <w:r>
        <w:rPr>
          <w:rFonts w:ascii="Calibri" w:cs="Calibri" w:eastAsia="Calibri" w:hAnsi="Calibri"/>
          <w:b/>
          <w:bCs/>
          <w:color w:val="14161B"/>
          <w:sz w:val="20"/>
          <w:szCs w:val="20"/>
        </w:rPr>
        <w:t xml:space="preserve">Milestone vesting needs measurable milestones</w:t>
      </w:r>
    </w:p>
    <w:p>
      <w:pPr>
        <w:spacing w:after="60" w:line="264"/>
        <w:jc w:val="both"/>
      </w:pPr>
      <w:r>
        <w:rPr>
          <w:rFonts w:ascii="Calibri" w:cs="Calibri" w:eastAsia="Calibri" w:hAnsi="Calibri"/>
          <w:sz w:val="19"/>
          <w:szCs w:val="19"/>
        </w:rPr>
        <w:t xml:space="preserve">Vesting on outcomes works only where the outcome is objectively verifiable and outside the discretion of the person deciding. Vague milestones produce disputes at exactly the point when the participant has already done the work.</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tax treatment of equity, the deemed exercise rule for departing non-citizens, and the pending Workplace Fairness Act all bear on vesting design — have vesting provisions reviewed by a corporate lawyer, and take tax advice on founder buyback arrangements.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2026-08-22T06:55:30.696Z</dcterms:created>
  <dcterms:modified xsi:type="dcterms:W3CDTF">2026-08-22T06:55:30.696Z</dcterms:modified>
</cp:coreProperties>
</file>

<file path=docProps/custom.xml><?xml version="1.0" encoding="utf-8"?>
<Properties xmlns="http://schemas.openxmlformats.org/officeDocument/2006/custom-properties" xmlns:vt="http://schemas.openxmlformats.org/officeDocument/2006/docPropsVTypes"/>
</file>