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STATUTORY REGISTERS</w:t>
      </w:r>
    </w:p>
    <w:p>
      <w:pPr>
        <w:spacing w:after="260"/>
        <w:jc w:val="center"/>
      </w:pPr>
      <w:r>
        <w:rPr>
          <w:rFonts w:ascii="Calibri" w:cs="Calibri" w:eastAsia="Calibri" w:hAnsi="Calibri"/>
          <w:i/>
          <w:iCs/>
          <w:color w:val="6E7480"/>
          <w:sz w:val="19"/>
          <w:szCs w:val="19"/>
        </w:rPr>
        <w:t xml:space="preserve">The registers a Singapore company must maintain</w:t>
      </w:r>
    </w:p>
    <w:p>
      <w:pPr>
        <w:spacing w:after="180" w:before="0" w:line="276"/>
        <w:jc w:val="both"/>
      </w:pPr>
      <w:r>
        <w:rPr>
          <w:rFonts w:ascii="Calibri" w:cs="Calibri" w:eastAsia="Calibri" w:hAnsi="Calibri"/>
          <w:i/>
          <w:iCs/>
          <w:color w:val="6E7480"/>
          <w:sz w:val="21"/>
          <w:szCs w:val="21"/>
        </w:rPr>
        <w:t xml:space="preserve">One Singapore feature changes how these registers work. For a private company the </w:t>
      </w:r>
      <w:r>
        <w:rPr>
          <w:rFonts w:ascii="Calibri" w:cs="Calibri" w:eastAsia="Calibri" w:hAnsi="Calibri"/>
          <w:b/>
          <w:bCs/>
          <w:i/>
          <w:iCs/>
          <w:color w:val="6E7480"/>
          <w:sz w:val="21"/>
          <w:szCs w:val="21"/>
        </w:rPr>
        <w:t xml:space="preserve">register of members is maintained by the Registrar</w:t>
      </w:r>
      <w:r>
        <w:rPr>
          <w:rFonts w:ascii="Calibri" w:cs="Calibri" w:eastAsia="Calibri" w:hAnsi="Calibri"/>
          <w:i/>
          <w:iCs/>
          <w:color w:val="6E7480"/>
          <w:sz w:val="21"/>
          <w:szCs w:val="21"/>
        </w:rPr>
        <w:t xml:space="preserve">, and that electronic register is prima facie evidence of legal title. Internal registers support it; they do not replace it. The others — directors, secretaries, charges, controllers, nominees — remain the company’s own.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Registers maintained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[Company Secretary]</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Kept at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[REGISTERED OFFICE OR THE OFFICE OF A REGISTERED FILING AGENT]</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Format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[Bound register / Electronic system]</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Location declared in the annual return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full review</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THE REGISTERS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2891"/>
        <w:gridCol w:w="1542"/>
        <w:gridCol w:w="3085"/>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Register</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Where kept</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Public?</w:t>
            </w:r>
          </w:p>
        </w:tc>
        <w:tc>
          <w:tcPr>
            <w:tcW w:type="dxa" w:w="30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Key point</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Members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Maintained by the Registrar</w:t>
            </w:r>
            <w:r>
              <w:rPr>
                <w:rFonts w:ascii="Calibri" w:cs="Calibri" w:eastAsia="Calibri" w:hAnsi="Calibri"/>
                <w:sz w:val="17"/>
                <w:szCs w:val="17"/>
              </w:rPr>
              <w:t xml:space="preserve"> for private companies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Yes, via the registry</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Registrar’s register is </w:t>
            </w:r>
            <w:r>
              <w:rPr>
                <w:rFonts w:ascii="Calibri" w:cs="Calibri" w:eastAsia="Calibri" w:hAnsi="Calibri"/>
                <w:b/>
                <w:bCs/>
                <w:sz w:val="17"/>
                <w:szCs w:val="17"/>
              </w:rPr>
              <w:t xml:space="preserve">prima facie evidence of title</w:t>
            </w:r>
            <w:r>
              <w:rPr>
                <w:rFonts w:ascii="Calibri" w:cs="Calibri" w:eastAsia="Calibri" w:hAnsi="Calibri"/>
                <w:sz w:val="17"/>
                <w:szCs w:val="17"/>
              </w:rPr>
              <w:t xml:space="preserve"> — lodge transfers and allotments promptly</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Directors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 particulars also filed</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Certain particulars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appointments and cessations within the prescribed period</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Secretaries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 particulars also filed</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Certain particulars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Office must not be vacant more than six months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Chief executive officers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 particulars also filed</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Certain particulars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Applies where the company has one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Auditors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Filed particulars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 required where audit exempt</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Charges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 with copies of instruments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Registered charges are public</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Registration deadline is what preserves the security</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Directors’ shareholdings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Feeds the Directors’ Statement disclosure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Registrable controllers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 or filing agent; </w:t>
            </w:r>
            <w:r>
              <w:rPr>
                <w:rFonts w:ascii="Calibri" w:cs="Calibri" w:eastAsia="Calibri" w:hAnsi="Calibri"/>
                <w:b/>
                <w:bCs/>
                <w:sz w:val="17"/>
                <w:szCs w:val="17"/>
              </w:rPr>
              <w:t xml:space="preserve">also filed centrally</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 available to authorities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 verification notices required</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Nominee directors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 also filed centrally</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Separate from the controllers register</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Nominee shareholders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 also filed centrally</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Separate again</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Interests declared by directors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Statutory declarations under the Companies Act</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Minute books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Board, general meeting and written resolutions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Debenture holders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 where applicable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[Confirm]</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debentures have been issued</w:t>
            </w:r>
          </w:p>
        </w:tc>
      </w:tr>
    </w:tbl>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Register of Directors</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451"/>
        <w:gridCol w:w="1503"/>
        <w:gridCol w:w="902"/>
        <w:gridCol w:w="1203"/>
        <w:gridCol w:w="1052"/>
        <w:gridCol w:w="1052"/>
        <w:gridCol w:w="2406"/>
        <w:gridCol w:w="1203"/>
        <w:gridCol w:w="1654"/>
        <w:gridCol w:w="1203"/>
        <w:gridCol w:w="1203"/>
        <w:gridCol w:w="1206"/>
      </w:tblGrid>
      <w:tr>
        <w:trPr>
          <w:tblHeader/>
        </w:trPr>
        <w:tc>
          <w:tcPr>
            <w:tcW w:type="dxa" w:w="4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Full name</w:t>
            </w:r>
          </w:p>
        </w:tc>
        <w:tc>
          <w:tcPr>
            <w:tcW w:type="dxa" w:w="90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Aliases</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ID / passport</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Nationality</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 of birth</w:t>
            </w:r>
          </w:p>
        </w:tc>
        <w:tc>
          <w:tcPr>
            <w:tcW w:type="dxa" w:w="24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Residential address</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Ordinarily resident in SG</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Other directorships</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Appointed</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Ceased</w:t>
            </w:r>
          </w:p>
        </w:tc>
        <w:tc>
          <w:tcPr>
            <w:tcW w:type="dxa" w:w="12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Filed on</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[ALIAS]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[NUMBER]</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[COUNTRY]</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[ADDRESS]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[Y/N]</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[LIST]</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2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[ALIAS]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[NUMBER]</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[COUNTRY]</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[ADDRESS]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[Y/N]</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[LIST]</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2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bl>
    <w:p>
      <w:pPr>
        <w:spacing w:after="14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Register of Secretaries and Officers</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451"/>
        <w:gridCol w:w="1954"/>
        <w:gridCol w:w="2255"/>
        <w:gridCol w:w="1353"/>
        <w:gridCol w:w="3007"/>
        <w:gridCol w:w="1954"/>
        <w:gridCol w:w="1353"/>
        <w:gridCol w:w="1052"/>
        <w:gridCol w:w="902"/>
        <w:gridCol w:w="757"/>
      </w:tblGrid>
      <w:tr>
        <w:trPr>
          <w:tblHeader/>
        </w:trPr>
        <w:tc>
          <w:tcPr>
            <w:tcW w:type="dxa" w:w="4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t>
            </w:r>
          </w:p>
        </w:tc>
        <w:tc>
          <w:tcPr>
            <w:tcW w:type="dxa" w:w="19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22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Office</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ID</w:t>
            </w:r>
          </w:p>
        </w:tc>
        <w:tc>
          <w:tcPr>
            <w:tcW w:type="dxa" w:w="30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Residential address</w:t>
            </w:r>
          </w:p>
        </w:tc>
        <w:tc>
          <w:tcPr>
            <w:tcW w:type="dxa" w:w="19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Qualification relied on</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Ordinarily resident</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Appointed</w:t>
            </w:r>
          </w:p>
        </w:tc>
        <w:tc>
          <w:tcPr>
            <w:tcW w:type="dxa" w:w="90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Ceased</w:t>
            </w:r>
          </w:p>
        </w:tc>
        <w:tc>
          <w:tcPr>
            <w:tcW w:type="dxa" w:w="75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Filed on</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[Company Secretary]</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[NUMBER]</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[ADDRESS]</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[DETAIL]</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[Y/N]</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75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[Chief Executive Officer]</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[NUMBER]</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[ADDRESS]</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[Y/N]</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75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bl>
    <w:p>
      <w:pPr>
        <w:spacing w:after="140"/>
      </w:pP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Register of Charges</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451"/>
        <w:gridCol w:w="1203"/>
        <w:gridCol w:w="1654"/>
        <w:gridCol w:w="1804"/>
        <w:gridCol w:w="2406"/>
        <w:gridCol w:w="1203"/>
        <w:gridCol w:w="1203"/>
        <w:gridCol w:w="1052"/>
        <w:gridCol w:w="1353"/>
        <w:gridCol w:w="1203"/>
        <w:gridCol w:w="1506"/>
      </w:tblGrid>
      <w:tr>
        <w:trPr>
          <w:tblHeader/>
        </w:trPr>
        <w:tc>
          <w:tcPr>
            <w:tcW w:type="dxa" w:w="4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 created</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Chargee</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Type of charge</w:t>
            </w:r>
          </w:p>
        </w:tc>
        <w:tc>
          <w:tcPr>
            <w:tcW w:type="dxa" w:w="24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Property charged</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Amount secured</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Instrument held</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Lodged on</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Registration ref</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Satisfied on</w:t>
            </w:r>
          </w:p>
        </w:tc>
        <w:tc>
          <w:tcPr>
            <w:tcW w:type="dxa" w:w="15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Memo of satisfaction filed</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[LENDER]</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[Fixed / Floating / Debenture]</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[DESCRIPTION]</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[Y/N]</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[REF]</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5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[LENDER]</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[TYPE]</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[DESCRIPTION]</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[Y/N]</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[REF]</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5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bl>
    <w:p>
      <w:pPr>
        <w:spacing w:after="140"/>
      </w:pPr>
    </w:p>
    <w:p>
      <w:pPr>
        <w:spacing w:after="60" w:before="240"/>
        <w:jc w:val="center"/>
      </w:pPr>
      <w:r>
        <w:rPr>
          <w:rFonts w:ascii="Calibri" w:cs="Calibri" w:eastAsia="Calibri" w:hAnsi="Calibri"/>
          <w:b/>
          <w:bCs/>
          <w:color w:val="14161B"/>
          <w:spacing w:val="12"/>
          <w:sz w:val="28"/>
          <w:szCs w:val="28"/>
        </w:rPr>
        <w:t xml:space="preserve">ANNEXURE D</w:t>
      </w:r>
    </w:p>
    <w:p>
      <w:pPr>
        <w:spacing w:after="260"/>
        <w:jc w:val="center"/>
      </w:pPr>
      <w:r>
        <w:rPr>
          <w:rFonts w:ascii="Calibri" w:cs="Calibri" w:eastAsia="Calibri" w:hAnsi="Calibri"/>
          <w:i/>
          <w:iCs/>
          <w:color w:val="6E7480"/>
          <w:sz w:val="19"/>
          <w:szCs w:val="19"/>
        </w:rPr>
        <w:t xml:space="preserve">Register of Directors’ Shareholdings</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451"/>
        <w:gridCol w:w="1654"/>
        <w:gridCol w:w="2556"/>
        <w:gridCol w:w="1203"/>
        <w:gridCol w:w="1503"/>
        <w:gridCol w:w="1503"/>
        <w:gridCol w:w="1954"/>
        <w:gridCol w:w="1804"/>
        <w:gridCol w:w="1353"/>
        <w:gridCol w:w="1057"/>
      </w:tblGrid>
      <w:tr>
        <w:trPr>
          <w:tblHeader/>
        </w:trPr>
        <w:tc>
          <w:tcPr>
            <w:tcW w:type="dxa" w:w="4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Director</w:t>
            </w:r>
          </w:p>
        </w:tc>
        <w:tc>
          <w:tcPr>
            <w:tcW w:type="dxa" w:w="25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Company</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Class</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Direct holding</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Deemed holding</w:t>
            </w:r>
          </w:p>
        </w:tc>
        <w:tc>
          <w:tcPr>
            <w:tcW w:type="dxa" w:w="19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Held through</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 of acquisition or change</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Consideration</w:t>
            </w:r>
          </w:p>
        </w:tc>
        <w:tc>
          <w:tcPr>
            <w:tcW w:type="dxa" w:w="105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Notified on</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[The Company / Related corporation]</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[CLASS]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[NUMBER]</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[NUMBER]</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[Spouse / Trust / Entity]</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05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[ENTITY]</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[CLASS]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[NUMBER]</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[NUMBER]</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[DETAIL]</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05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bl>
    <w:p>
      <w:pPr>
        <w:spacing w:after="140"/>
      </w:pPr>
    </w:p>
    <w:p>
      <w:pPr>
        <w:spacing w:after="60" w:before="240"/>
        <w:jc w:val="center"/>
      </w:pPr>
      <w:r>
        <w:rPr>
          <w:rFonts w:ascii="Calibri" w:cs="Calibri" w:eastAsia="Calibri" w:hAnsi="Calibri"/>
          <w:b/>
          <w:bCs/>
          <w:color w:val="14161B"/>
          <w:spacing w:val="12"/>
          <w:sz w:val="28"/>
          <w:szCs w:val="28"/>
        </w:rPr>
        <w:t xml:space="preserve">ANNEXURE E</w:t>
      </w:r>
    </w:p>
    <w:p>
      <w:pPr>
        <w:spacing w:after="260"/>
        <w:jc w:val="center"/>
      </w:pPr>
      <w:r>
        <w:rPr>
          <w:rFonts w:ascii="Calibri" w:cs="Calibri" w:eastAsia="Calibri" w:hAnsi="Calibri"/>
          <w:i/>
          <w:iCs/>
          <w:color w:val="6E7480"/>
          <w:sz w:val="19"/>
          <w:szCs w:val="19"/>
        </w:rPr>
        <w:t xml:space="preserve">Internal Record of Members</w:t>
      </w:r>
    </w:p>
    <w:p>
      <w:pPr>
        <w:spacing w:after="100" w:before="0" w:line="276"/>
        <w:jc w:val="both"/>
      </w:pPr>
      <w:r>
        <w:rPr>
          <w:rFonts w:ascii="Calibri" w:cs="Calibri" w:eastAsia="Calibri" w:hAnsi="Calibri"/>
          <w:i/>
          <w:iCs/>
          <w:sz w:val="21"/>
          <w:szCs w:val="21"/>
        </w:rPr>
        <w:t xml:space="preserve">Supports, but does not replace, the register maintained by the Registrar. Reconcile to it.</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451"/>
        <w:gridCol w:w="1804"/>
        <w:gridCol w:w="1503"/>
        <w:gridCol w:w="2556"/>
        <w:gridCol w:w="1052"/>
        <w:gridCol w:w="1203"/>
        <w:gridCol w:w="1203"/>
        <w:gridCol w:w="1203"/>
        <w:gridCol w:w="1052"/>
        <w:gridCol w:w="1654"/>
        <w:gridCol w:w="1357"/>
      </w:tblGrid>
      <w:tr>
        <w:trPr>
          <w:tblHeader/>
        </w:trPr>
        <w:tc>
          <w:tcPr>
            <w:tcW w:type="dxa" w:w="4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Member</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ID / registration</w:t>
            </w:r>
          </w:p>
        </w:tc>
        <w:tc>
          <w:tcPr>
            <w:tcW w:type="dxa" w:w="25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Address</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Class</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Shares held</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 entered</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Consideration</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Nominee?</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Registrable controller?</w:t>
            </w:r>
          </w:p>
        </w:tc>
        <w:tc>
          <w:tcPr>
            <w:tcW w:type="dxa" w:w="135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Registrar record agrees</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[NUMBER]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[ADDRESS]</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[CLASS]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[NUMBER]</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[Y/N]</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[Y/N]</w:t>
            </w:r>
          </w:p>
        </w:tc>
        <w:tc>
          <w:tcPr>
            <w:tcW w:type="dxa" w:w="135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[Y/N]</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[NUMBER]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[ADDRESS]</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[CLASS]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[NUMBER]</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[Y/N]</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[Y/N]</w:t>
            </w:r>
          </w:p>
        </w:tc>
        <w:tc>
          <w:tcPr>
            <w:tcW w:type="dxa" w:w="135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[Y/N]</w:t>
            </w: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keepNext/>
        <w:spacing w:after="120" w:before="280"/>
        <w:outlineLvl w:val="0"/>
      </w:pPr>
      <w:r>
        <w:rPr>
          <w:rFonts w:ascii="Calibri" w:cs="Calibri" w:eastAsia="Calibri" w:hAnsi="Calibri"/>
          <w:b/>
          <w:bCs/>
          <w:color w:val="14161B"/>
          <w:sz w:val="22"/>
          <w:szCs w:val="22"/>
        </w:rPr>
        <w:t xml:space="preserve">2. MAINTENANCE CALENDAR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047"/>
        <w:gridCol w:w="1927"/>
        <w:gridCol w:w="2120"/>
        <w:gridCol w:w="1159"/>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Task</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Trigger</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Deadline</w:t>
            </w:r>
          </w:p>
        </w:tc>
        <w:tc>
          <w:tcPr>
            <w:tcW w:type="dxa" w:w="115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Update the register of directors and notify the Registrar</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Appointment or cessation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Prescribed period</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Update the register of secretaries and notify</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Appointment or cessation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Prescribed period</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Lodge the return of allotment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 allotment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14 days</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Lodge the share transfer</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Transfer executed and stamped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Promptly</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Lodge the charge for registration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Charge created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Prescribed period — or the security is void</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File the memorandum of satisfaction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Charge discharged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Promptly</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Update the registrable controllers register and file centrally</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Change of control</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Prescribed period</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Send annual verification notices to controllers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Each calendar year</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Update the nominee director and nominee shareholder registers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Change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Prescribed period</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 directors’ interests and shareholding changes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Declaration or change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Prescribed period</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Enter minutes and written resolutions in the minute book</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Each meeting or resolution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Prescribed period</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a change of registered office or office hours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Change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Prescribed period</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Declare the location of the controllers register</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 the annual return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Reconcile the internal member record to the Registrar’s register</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 and on any change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15</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Full review of all registers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the annual return</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60"/>
      </w:pPr>
    </w:p>
    <w:p>
      <w:pPr>
        <w:keepNext/>
        <w:spacing w:after="120" w:before="280"/>
        <w:outlineLvl w:val="0"/>
      </w:pPr>
      <w:r>
        <w:rPr>
          <w:rFonts w:ascii="Calibri" w:cs="Calibri" w:eastAsia="Calibri" w:hAnsi="Calibri"/>
          <w:b/>
          <w:bCs/>
          <w:color w:val="14161B"/>
          <w:sz w:val="22"/>
          <w:szCs w:val="22"/>
        </w:rPr>
        <w:t xml:space="preserve">3. ACCESS AND INSPECTION</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Registers must be kept at the registered office or, where permitted, at the office of a registered filing agent, and the location declared as required.</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Certain registers are open to inspection by members and, in some cases, by the public, on the terms the Companies Act allows.</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registers of registrable controllers, nominee directors and nominee shareholders are </w:t>
      </w:r>
      <w:r>
        <w:rPr>
          <w:rFonts w:ascii="Calibri" w:cs="Calibri" w:eastAsia="Calibri" w:hAnsi="Calibri"/>
          <w:b/>
          <w:bCs/>
          <w:sz w:val="21"/>
          <w:szCs w:val="21"/>
        </w:rPr>
        <w:t xml:space="preserve">not public</w:t>
      </w:r>
      <w:r>
        <w:rPr>
          <w:rFonts w:ascii="Calibri" w:cs="Calibri" w:eastAsia="Calibri" w:hAnsi="Calibri"/>
          <w:sz w:val="21"/>
          <w:szCs w:val="21"/>
        </w:rPr>
        <w:t xml:space="preserve"> but must be produced to the authorities and to law enforcement on request.</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Registers contain identification numbers, residential addresses and dates of birth. Handle them in accordance with the Personal Data Protection Act — restrict access, secure the storage, and do not circulate them more widely than the obligation requires.</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Registrar holds the register of members</w:t>
      </w:r>
    </w:p>
    <w:p>
      <w:pPr>
        <w:spacing w:after="60" w:line="264"/>
        <w:jc w:val="both"/>
      </w:pPr>
      <w:r>
        <w:rPr>
          <w:rFonts w:ascii="Calibri" w:cs="Calibri" w:eastAsia="Calibri" w:hAnsi="Calibri"/>
          <w:sz w:val="19"/>
          <w:szCs w:val="19"/>
        </w:rPr>
        <w:t xml:space="preserve">For a private company, the electronic register of members maintained by the Registrar is prima facie evidence of legal title. A carefully kept internal register that has not been reflected in filings is not the operative record. This inverts the practice in jurisdictions where the company’s own register governs, and it is the single most important point in this document.</w:t>
      </w:r>
    </w:p>
    <w:p>
      <w:pPr>
        <w:keepNext/>
        <w:spacing w:after="40" w:before="140"/>
      </w:pPr>
      <w:r>
        <w:rPr>
          <w:rFonts w:ascii="Calibri" w:cs="Calibri" w:eastAsia="Calibri" w:hAnsi="Calibri"/>
          <w:b/>
          <w:bCs/>
          <w:color w:val="14161B"/>
          <w:sz w:val="20"/>
          <w:szCs w:val="20"/>
        </w:rPr>
        <w:t xml:space="preserve">Lodge promptly, or the record is wrong</w:t>
      </w:r>
    </w:p>
    <w:p>
      <w:pPr>
        <w:spacing w:after="60" w:line="264"/>
        <w:jc w:val="both"/>
      </w:pPr>
      <w:r>
        <w:rPr>
          <w:rFonts w:ascii="Calibri" w:cs="Calibri" w:eastAsia="Calibri" w:hAnsi="Calibri"/>
          <w:sz w:val="19"/>
          <w:szCs w:val="19"/>
        </w:rPr>
        <w:t xml:space="preserve">Because the Registrar’s register governs, allotments and transfers that are not lodged leave shareholders off the register that matters. The return of allotment is due within fourteen days; transfers should be lodged on completion. Delays here surface in financings, bank onboarding and sales.</w:t>
      </w:r>
    </w:p>
    <w:p>
      <w:pPr>
        <w:keepNext/>
        <w:spacing w:after="40" w:before="140"/>
      </w:pPr>
      <w:r>
        <w:rPr>
          <w:rFonts w:ascii="Calibri" w:cs="Calibri" w:eastAsia="Calibri" w:hAnsi="Calibri"/>
          <w:b/>
          <w:bCs/>
          <w:color w:val="14161B"/>
          <w:sz w:val="20"/>
          <w:szCs w:val="20"/>
        </w:rPr>
        <w:t xml:space="preserve">Charge registration protects the security, not the debt</w:t>
      </w:r>
    </w:p>
    <w:p>
      <w:pPr>
        <w:spacing w:after="60" w:line="264"/>
        <w:jc w:val="both"/>
      </w:pPr>
      <w:r>
        <w:rPr>
          <w:rFonts w:ascii="Calibri" w:cs="Calibri" w:eastAsia="Calibri" w:hAnsi="Calibri"/>
          <w:sz w:val="19"/>
          <w:szCs w:val="19"/>
        </w:rPr>
        <w:t xml:space="preserve">A registrable charge not lodged within the prescribed period is void against the liquidator and creditors. The company still owes the money. This is the one deadline in the whole register set where missing it destroys value rather than attracting a penalty.</w:t>
      </w:r>
    </w:p>
    <w:p>
      <w:pPr>
        <w:keepNext/>
        <w:spacing w:after="40" w:before="140"/>
      </w:pPr>
      <w:r>
        <w:rPr>
          <w:rFonts w:ascii="Calibri" w:cs="Calibri" w:eastAsia="Calibri" w:hAnsi="Calibri"/>
          <w:b/>
          <w:bCs/>
          <w:color w:val="14161B"/>
          <w:sz w:val="20"/>
          <w:szCs w:val="20"/>
        </w:rPr>
        <w:t xml:space="preserve">Discharge charges when repaid</w:t>
      </w:r>
    </w:p>
    <w:p>
      <w:pPr>
        <w:spacing w:after="60" w:line="264"/>
        <w:jc w:val="both"/>
      </w:pPr>
      <w:r>
        <w:rPr>
          <w:rFonts w:ascii="Calibri" w:cs="Calibri" w:eastAsia="Calibri" w:hAnsi="Calibri"/>
          <w:sz w:val="19"/>
          <w:szCs w:val="19"/>
        </w:rPr>
        <w:t xml:space="preserve">An undischarged charge sitting on the public record after repayment obstructs future borrowing and generates a due diligence query every time. Filing the memorandum of satisfaction takes minutes and is owned by nobody unless assigned.</w:t>
      </w:r>
    </w:p>
    <w:p>
      <w:pPr>
        <w:keepNext/>
        <w:spacing w:after="40" w:before="140"/>
      </w:pPr>
      <w:r>
        <w:rPr>
          <w:rFonts w:ascii="Calibri" w:cs="Calibri" w:eastAsia="Calibri" w:hAnsi="Calibri"/>
          <w:b/>
          <w:bCs/>
          <w:color w:val="14161B"/>
          <w:sz w:val="20"/>
          <w:szCs w:val="20"/>
        </w:rPr>
        <w:t xml:space="preserve">The controllers register carries an annual obligation</w:t>
      </w:r>
    </w:p>
    <w:p>
      <w:pPr>
        <w:spacing w:after="60" w:line="264"/>
        <w:jc w:val="both"/>
      </w:pPr>
      <w:r>
        <w:rPr>
          <w:rFonts w:ascii="Calibri" w:cs="Calibri" w:eastAsia="Calibri" w:hAnsi="Calibri"/>
          <w:sz w:val="19"/>
          <w:szCs w:val="19"/>
        </w:rPr>
        <w:t xml:space="preserve">Verification notices must be sent to recorded registrable controllers at least once each calendar year, separately from any change. This is the most commonly missed obligation in the whole set, because it is not triggered by an event — it just falls due. Item 8 of the calendar exists for it.</w:t>
      </w:r>
    </w:p>
    <w:p>
      <w:pPr>
        <w:keepNext/>
        <w:spacing w:after="40" w:before="140"/>
      </w:pPr>
      <w:r>
        <w:rPr>
          <w:rFonts w:ascii="Calibri" w:cs="Calibri" w:eastAsia="Calibri" w:hAnsi="Calibri"/>
          <w:b/>
          <w:bCs/>
          <w:color w:val="14161B"/>
          <w:sz w:val="20"/>
          <w:szCs w:val="20"/>
        </w:rPr>
        <w:t xml:space="preserve">Three separate nominee and controller registers</w:t>
      </w:r>
    </w:p>
    <w:p>
      <w:pPr>
        <w:spacing w:after="60" w:line="264"/>
        <w:jc w:val="both"/>
      </w:pPr>
      <w:r>
        <w:rPr>
          <w:rFonts w:ascii="Calibri" w:cs="Calibri" w:eastAsia="Calibri" w:hAnsi="Calibri"/>
          <w:sz w:val="19"/>
          <w:szCs w:val="19"/>
        </w:rPr>
        <w:t xml:space="preserve">The register of registrable controllers, the register of nominee directors and the register of nominee shareholders are distinct, with different definitions and different triggers. Recording a nominee director in the controllers register does not satisfy the nominee director obligation. Companies with a nominee arrangement frequently maintain one and assume it covers the rest.</w:t>
      </w:r>
    </w:p>
    <w:p>
      <w:pPr>
        <w:keepNext/>
        <w:spacing w:after="40" w:before="140"/>
      </w:pPr>
      <w:r>
        <w:rPr>
          <w:rFonts w:ascii="Calibri" w:cs="Calibri" w:eastAsia="Calibri" w:hAnsi="Calibri"/>
          <w:b/>
          <w:bCs/>
          <w:color w:val="14161B"/>
          <w:sz w:val="20"/>
          <w:szCs w:val="20"/>
        </w:rPr>
        <w:t xml:space="preserve">Central filing is now part of the obligation</w:t>
      </w:r>
    </w:p>
    <w:p>
      <w:pPr>
        <w:spacing w:after="60" w:line="264"/>
        <w:jc w:val="both"/>
      </w:pPr>
      <w:r>
        <w:rPr>
          <w:rFonts w:ascii="Calibri" w:cs="Calibri" w:eastAsia="Calibri" w:hAnsi="Calibri"/>
          <w:sz w:val="19"/>
          <w:szCs w:val="19"/>
        </w:rPr>
        <w:t xml:space="preserve">Information in these registers must also be filed with the authority’s central registers and kept updated there. Maintaining a perfect register at the registered office while filing nothing centrally does not satisfy the current requirement.</w:t>
      </w:r>
    </w:p>
    <w:p>
      <w:pPr>
        <w:keepNext/>
        <w:spacing w:after="40" w:before="140"/>
      </w:pPr>
      <w:r>
        <w:rPr>
          <w:rFonts w:ascii="Calibri" w:cs="Calibri" w:eastAsia="Calibri" w:hAnsi="Calibri"/>
          <w:b/>
          <w:bCs/>
          <w:color w:val="14161B"/>
          <w:sz w:val="20"/>
          <w:szCs w:val="20"/>
        </w:rPr>
        <w:t xml:space="preserve">Directors’ shareholdings include deemed interests</w:t>
      </w:r>
    </w:p>
    <w:p>
      <w:pPr>
        <w:spacing w:after="60" w:line="264"/>
        <w:jc w:val="both"/>
      </w:pPr>
      <w:r>
        <w:rPr>
          <w:rFonts w:ascii="Calibri" w:cs="Calibri" w:eastAsia="Calibri" w:hAnsi="Calibri"/>
          <w:sz w:val="19"/>
          <w:szCs w:val="19"/>
        </w:rPr>
        <w:t xml:space="preserve">The register covers interests held through a spouse, family member, trust or controlled entity, and changes must be notified within the prescribed period. It also feeds the disclosure in the Directors’ Statement, so gaps surface at year end.</w:t>
      </w:r>
    </w:p>
    <w:p>
      <w:pPr>
        <w:keepNext/>
        <w:spacing w:after="40" w:before="140"/>
      </w:pPr>
      <w:r>
        <w:rPr>
          <w:rFonts w:ascii="Calibri" w:cs="Calibri" w:eastAsia="Calibri" w:hAnsi="Calibri"/>
          <w:b/>
          <w:bCs/>
          <w:color w:val="14161B"/>
          <w:sz w:val="20"/>
          <w:szCs w:val="20"/>
        </w:rPr>
        <w:t xml:space="preserve">Company secretary vacancy has a limit</w:t>
      </w:r>
    </w:p>
    <w:p>
      <w:pPr>
        <w:spacing w:after="60" w:line="264"/>
        <w:jc w:val="both"/>
      </w:pPr>
      <w:r>
        <w:rPr>
          <w:rFonts w:ascii="Calibri" w:cs="Calibri" w:eastAsia="Calibri" w:hAnsi="Calibri"/>
          <w:sz w:val="19"/>
          <w:szCs w:val="19"/>
        </w:rPr>
        <w:t xml:space="preserve">The office must be filled within six months of incorporation and must not remain vacant for more than six months. For a company with a sole director, the secretary cannot be that same person. Both points catch out small companies that lose a secretary and delay replacing them.</w:t>
      </w:r>
    </w:p>
    <w:p>
      <w:pPr>
        <w:keepNext/>
        <w:spacing w:after="40" w:before="140"/>
      </w:pPr>
      <w:r>
        <w:rPr>
          <w:rFonts w:ascii="Calibri" w:cs="Calibri" w:eastAsia="Calibri" w:hAnsi="Calibri"/>
          <w:b/>
          <w:bCs/>
          <w:color w:val="14161B"/>
          <w:sz w:val="20"/>
          <w:szCs w:val="20"/>
        </w:rPr>
        <w:t xml:space="preserve">Declare where the registers are kept</w:t>
      </w:r>
    </w:p>
    <w:p>
      <w:pPr>
        <w:spacing w:after="60" w:line="264"/>
        <w:jc w:val="both"/>
      </w:pPr>
      <w:r>
        <w:rPr>
          <w:rFonts w:ascii="Calibri" w:cs="Calibri" w:eastAsia="Calibri" w:hAnsi="Calibri"/>
          <w:sz w:val="19"/>
          <w:szCs w:val="19"/>
        </w:rPr>
        <w:t xml:space="preserve">Where registers are kept at the office of a registered filing agent rather than the registered office, the location must be declared. Where a corporate service provider maintains them, confirm what they actually do — many packages do not include the annual controller verification notices.</w:t>
      </w:r>
    </w:p>
    <w:p>
      <w:pPr>
        <w:keepNext/>
        <w:spacing w:after="40" w:before="140"/>
      </w:pPr>
      <w:r>
        <w:rPr>
          <w:rFonts w:ascii="Calibri" w:cs="Calibri" w:eastAsia="Calibri" w:hAnsi="Calibri"/>
          <w:b/>
          <w:bCs/>
          <w:color w:val="14161B"/>
          <w:sz w:val="20"/>
          <w:szCs w:val="20"/>
        </w:rPr>
        <w:t xml:space="preserve">Minute books are part of the register set</w:t>
      </w:r>
    </w:p>
    <w:p>
      <w:pPr>
        <w:spacing w:after="60" w:line="264"/>
        <w:jc w:val="both"/>
      </w:pPr>
      <w:r>
        <w:rPr>
          <w:rFonts w:ascii="Calibri" w:cs="Calibri" w:eastAsia="Calibri" w:hAnsi="Calibri"/>
          <w:sz w:val="19"/>
          <w:szCs w:val="19"/>
        </w:rPr>
        <w:t xml:space="preserve">Board minutes, general meeting minutes and written resolutions belong with the registers, in sequence. Companies with excellent registers and no minute book are common, and the missing half is the one that explains how the entries came about.</w:t>
      </w:r>
    </w:p>
    <w:p>
      <w:pPr>
        <w:keepNext/>
        <w:spacing w:after="40" w:before="140"/>
      </w:pPr>
      <w:r>
        <w:rPr>
          <w:rFonts w:ascii="Calibri" w:cs="Calibri" w:eastAsia="Calibri" w:hAnsi="Calibri"/>
          <w:b/>
          <w:bCs/>
          <w:color w:val="14161B"/>
          <w:sz w:val="20"/>
          <w:szCs w:val="20"/>
        </w:rPr>
        <w:t xml:space="preserve">Registers are personal data</w:t>
      </w:r>
    </w:p>
    <w:p>
      <w:pPr>
        <w:spacing w:after="60" w:line="264"/>
        <w:jc w:val="both"/>
      </w:pPr>
      <w:r>
        <w:rPr>
          <w:rFonts w:ascii="Calibri" w:cs="Calibri" w:eastAsia="Calibri" w:hAnsi="Calibri"/>
          <w:sz w:val="19"/>
          <w:szCs w:val="19"/>
        </w:rPr>
        <w:t xml:space="preserve">Identification numbers, residential addresses and dates of birth are sensitive. Restrict access, secure the storage, and be deliberate about who receives copies — registers are routinely emailed around during transactions with no thought given to this.</w:t>
      </w:r>
    </w:p>
    <w:p>
      <w:pPr>
        <w:keepNext/>
        <w:spacing w:after="40" w:before="140"/>
      </w:pPr>
      <w:r>
        <w:rPr>
          <w:rFonts w:ascii="Calibri" w:cs="Calibri" w:eastAsia="Calibri" w:hAnsi="Calibri"/>
          <w:b/>
          <w:bCs/>
          <w:color w:val="14161B"/>
          <w:sz w:val="20"/>
          <w:szCs w:val="20"/>
        </w:rPr>
        <w:t xml:space="preserve">Reconcile the cap table annually</w:t>
      </w:r>
    </w:p>
    <w:p>
      <w:pPr>
        <w:spacing w:after="60" w:line="264"/>
        <w:jc w:val="both"/>
      </w:pPr>
      <w:r>
        <w:rPr>
          <w:rFonts w:ascii="Calibri" w:cs="Calibri" w:eastAsia="Calibri" w:hAnsi="Calibri"/>
          <w:sz w:val="19"/>
          <w:szCs w:val="19"/>
        </w:rPr>
        <w:t xml:space="preserve">Spreadsheet cap tables drift from the statutory position, usually by one allotment recorded in one place and not the other. Reconciling annually, against the Registrar’s register rather than the internal one, takes an hour and prevents a painful reconstruction later.</w:t>
      </w:r>
    </w:p>
    <w:p>
      <w:pPr>
        <w:keepNext/>
        <w:spacing w:after="40" w:before="140"/>
      </w:pPr>
      <w:r>
        <w:rPr>
          <w:rFonts w:ascii="Calibri" w:cs="Calibri" w:eastAsia="Calibri" w:hAnsi="Calibri"/>
          <w:b/>
          <w:bCs/>
          <w:color w:val="14161B"/>
          <w:sz w:val="20"/>
          <w:szCs w:val="20"/>
        </w:rPr>
        <w:t xml:space="preserve">These are the first thing due diligence asks for</w:t>
      </w:r>
    </w:p>
    <w:p>
      <w:pPr>
        <w:spacing w:after="60" w:line="264"/>
        <w:jc w:val="both"/>
      </w:pPr>
      <w:r>
        <w:rPr>
          <w:rFonts w:ascii="Calibri" w:cs="Calibri" w:eastAsia="Calibri" w:hAnsi="Calibri"/>
          <w:sz w:val="19"/>
          <w:szCs w:val="19"/>
        </w:rPr>
        <w:t xml:space="preserve">A complete, current and internally consistent register set signals a well-run company and shortens diligence considerably. An incomplete one invites questions across every other area. For a company that may raise money or be sold, the registers are cheap insurance.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Filing deadlines, register requirements, central filing obligations and inspection rights under the Companies Act 1967 all change, and requirements on controllers and nominees have been amended repeatedly — have the registers maintained by a company secretary and reviewed annually.</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2026-08-22T06:55:30.506Z</dcterms:created>
  <dcterms:modified xsi:type="dcterms:W3CDTF">2026-08-22T06:55:30.506Z</dcterms:modified>
</cp:coreProperties>
</file>

<file path=docProps/custom.xml><?xml version="1.0" encoding="utf-8"?>
<Properties xmlns="http://schemas.openxmlformats.org/officeDocument/2006/custom-properties" xmlns:vt="http://schemas.openxmlformats.org/officeDocument/2006/docPropsVTypes"/>
</file>