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SHAREHOLDERS’ AGREEMENT</w:t>
      </w:r>
    </w:p>
    <w:p>
      <w:pPr>
        <w:spacing w:after="260"/>
        <w:jc w:val="center"/>
      </w:pPr>
      <w:r>
        <w:rPr>
          <w:rFonts w:ascii="Calibri" w:cs="Calibri" w:eastAsia="Calibri" w:hAnsi="Calibri"/>
          <w:i/>
          <w:iCs/>
          <w:color w:val="6E7480"/>
          <w:sz w:val="19"/>
          <w:szCs w:val="19"/>
        </w:rPr>
        <w:t xml:space="preserve">Between the Company and its shareholders</w:t>
      </w:r>
    </w:p>
    <w:p>
      <w:pPr>
        <w:spacing w:after="180" w:before="0" w:line="276"/>
        <w:jc w:val="both"/>
      </w:pPr>
      <w:r>
        <w:rPr>
          <w:rFonts w:ascii="Calibri" w:cs="Calibri" w:eastAsia="Calibri" w:hAnsi="Calibri"/>
          <w:i/>
          <w:iCs/>
          <w:color w:val="6E7480"/>
          <w:sz w:val="21"/>
          <w:szCs w:val="21"/>
        </w:rPr>
        <w:t xml:space="preserve">The agreement and the constitution must say the same thing. Where they conflict, the constitution generally governs the company’s internal affairs while the agreement binds the parties contractually — which produces a valid resolution that is simultaneously a breach of contract. Amend both together, every time.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Founders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 classes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[Ordinary; Series A Preference]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size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[4]</w:t>
            </w:r>
            <w:r>
              <w:rPr>
                <w:rFonts w:ascii="Calibri" w:cs="Calibri" w:eastAsia="Calibri" w:hAnsi="Calibri"/>
                <w:sz w:val="19"/>
                <w:szCs w:val="19"/>
              </w:rPr>
              <w:t xml:space="preserve"> — </w:t>
            </w:r>
            <w:r>
              <w:rPr>
                <w:rFonts w:ascii="Calibri" w:cs="Calibri" w:eastAsia="Calibri" w:hAnsi="Calibri"/>
                <w:b/>
                <w:bCs/>
                <w:sz w:val="19"/>
                <w:szCs w:val="19"/>
              </w:rPr>
              <w:t xml:space="preserve">[2]</w:t>
            </w:r>
            <w:r>
              <w:rPr>
                <w:rFonts w:ascii="Calibri" w:cs="Calibri" w:eastAsia="Calibri" w:hAnsi="Calibri"/>
                <w:sz w:val="19"/>
                <w:szCs w:val="19"/>
              </w:rPr>
              <w:t xml:space="preserve"> founder, </w:t>
            </w:r>
            <w:r>
              <w:rPr>
                <w:rFonts w:ascii="Calibri" w:cs="Calibri" w:eastAsia="Calibri" w:hAnsi="Calibri"/>
                <w:b/>
                <w:bCs/>
                <w:sz w:val="19"/>
                <w:szCs w:val="19"/>
              </w:rPr>
              <w:t xml:space="preserve">[1]</w:t>
            </w:r>
            <w:r>
              <w:rPr>
                <w:rFonts w:ascii="Calibri" w:cs="Calibri" w:eastAsia="Calibri" w:hAnsi="Calibri"/>
                <w:sz w:val="19"/>
                <w:szCs w:val="19"/>
              </w:rPr>
              <w:t xml:space="preserve"> investor, </w:t>
            </w:r>
            <w:r>
              <w:rPr>
                <w:rFonts w:ascii="Calibri" w:cs="Calibri" w:eastAsia="Calibri" w:hAnsi="Calibri"/>
                <w:b/>
                <w:bCs/>
                <w:sz w:val="19"/>
                <w:szCs w:val="19"/>
              </w:rPr>
              <w:t xml:space="preserve">[1]</w:t>
            </w:r>
            <w:r>
              <w:rPr>
                <w:rFonts w:ascii="Calibri" w:cs="Calibri" w:eastAsia="Calibri" w:hAnsi="Calibri"/>
                <w:sz w:val="19"/>
                <w:szCs w:val="19"/>
              </w:rPr>
              <w:t xml:space="preserve"> independent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 consent threshold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[Holders of a majority of the Preference Shares]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Drag-along threshold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[Holders of ______ per cent and the Investor Majority]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Constitution amended to match</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RELATIONSHIP WITH THE CONSTITUTION</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parties shall exercise their rights so as to give effect to this agreement, and shall procure that the constitution is amended to be consistent with it.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As between the parties, </w:t>
      </w:r>
      <w:r>
        <w:rPr>
          <w:rFonts w:ascii="Calibri" w:cs="Calibri" w:eastAsia="Calibri" w:hAnsi="Calibri"/>
          <w:b/>
          <w:bCs/>
          <w:sz w:val="21"/>
          <w:szCs w:val="21"/>
        </w:rPr>
        <w:t xml:space="preserve">this agreement prevails</w:t>
      </w:r>
      <w:r>
        <w:rPr>
          <w:rFonts w:ascii="Calibri" w:cs="Calibri" w:eastAsia="Calibri" w:hAnsi="Calibri"/>
          <w:sz w:val="21"/>
          <w:szCs w:val="21"/>
        </w:rPr>
        <w:t xml:space="preserve"> over the constitution. As regards the Company’s internal affairs and third parties, the constitution governs.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Any amendment to this agreement requiring a corresponding change to the constitution shall be made at the same time.</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i/>
          <w:iCs/>
          <w:sz w:val="21"/>
          <w:szCs w:val="21"/>
        </w:rPr>
        <w:t xml:space="preserve">Inconsistency between the two is among the most common findings in due diligence, and it usually arises because the constitution was left as the Model Constitution while a bespoke agreement was negotiated alongside it.</w:t>
      </w:r>
    </w:p>
    <w:p>
      <w:pPr>
        <w:keepNext/>
        <w:spacing w:after="120" w:before="280"/>
        <w:outlineLvl w:val="0"/>
      </w:pPr>
      <w:r>
        <w:rPr>
          <w:rFonts w:ascii="Calibri" w:cs="Calibri" w:eastAsia="Calibri" w:hAnsi="Calibri"/>
          <w:b/>
          <w:bCs/>
          <w:color w:val="14161B"/>
          <w:sz w:val="22"/>
          <w:szCs w:val="22"/>
        </w:rPr>
        <w:t xml:space="preserve">2. BOARD</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Board shall consist of </w:t>
      </w:r>
      <w:r>
        <w:rPr>
          <w:rFonts w:ascii="Calibri" w:cs="Calibri" w:eastAsia="Calibri" w:hAnsi="Calibri"/>
          <w:b/>
          <w:bCs/>
          <w:sz w:val="21"/>
          <w:szCs w:val="21"/>
        </w:rPr>
        <w:t xml:space="preserve">[4]</w:t>
      </w:r>
      <w:r>
        <w:rPr>
          <w:rFonts w:ascii="Calibri" w:cs="Calibri" w:eastAsia="Calibri" w:hAnsi="Calibri"/>
          <w:sz w:val="21"/>
          <w:szCs w:val="21"/>
        </w:rPr>
        <w:t xml:space="preserve"> directors: </w:t>
      </w:r>
      <w:r>
        <w:rPr>
          <w:rFonts w:ascii="Calibri" w:cs="Calibri" w:eastAsia="Calibri" w:hAnsi="Calibri"/>
          <w:b/>
          <w:bCs/>
          <w:sz w:val="21"/>
          <w:szCs w:val="21"/>
        </w:rPr>
        <w:t xml:space="preserve">[2]</w:t>
      </w:r>
      <w:r>
        <w:rPr>
          <w:rFonts w:ascii="Calibri" w:cs="Calibri" w:eastAsia="Calibri" w:hAnsi="Calibri"/>
          <w:sz w:val="21"/>
          <w:szCs w:val="21"/>
        </w:rPr>
        <w:t xml:space="preserve"> appointed by the Founders, </w:t>
      </w:r>
      <w:r>
        <w:rPr>
          <w:rFonts w:ascii="Calibri" w:cs="Calibri" w:eastAsia="Calibri" w:hAnsi="Calibri"/>
          <w:b/>
          <w:bCs/>
          <w:sz w:val="21"/>
          <w:szCs w:val="21"/>
        </w:rPr>
        <w:t xml:space="preserve">[1]</w:t>
      </w:r>
      <w:r>
        <w:rPr>
          <w:rFonts w:ascii="Calibri" w:cs="Calibri" w:eastAsia="Calibri" w:hAnsi="Calibri"/>
          <w:sz w:val="21"/>
          <w:szCs w:val="21"/>
        </w:rPr>
        <w:t xml:space="preserve"> appointed by the Investor Majority, and </w:t>
      </w:r>
      <w:r>
        <w:rPr>
          <w:rFonts w:ascii="Calibri" w:cs="Calibri" w:eastAsia="Calibri" w:hAnsi="Calibri"/>
          <w:b/>
          <w:bCs/>
          <w:sz w:val="21"/>
          <w:szCs w:val="21"/>
        </w:rPr>
        <w:t xml:space="preserve">[1]</w:t>
      </w:r>
      <w:r>
        <w:rPr>
          <w:rFonts w:ascii="Calibri" w:cs="Calibri" w:eastAsia="Calibri" w:hAnsi="Calibri"/>
          <w:sz w:val="21"/>
          <w:szCs w:val="21"/>
        </w:rPr>
        <w:t xml:space="preserve"> independent director appointed by agreement.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At least one director shall be </w:t>
      </w:r>
      <w:r>
        <w:rPr>
          <w:rFonts w:ascii="Calibri" w:cs="Calibri" w:eastAsia="Calibri" w:hAnsi="Calibri"/>
          <w:b/>
          <w:bCs/>
          <w:sz w:val="21"/>
          <w:szCs w:val="21"/>
        </w:rPr>
        <w:t xml:space="preserve">ordinarily resident in Singapore</w:t>
      </w:r>
      <w:r>
        <w:rPr>
          <w:rFonts w:ascii="Calibri" w:cs="Calibri" w:eastAsia="Calibri" w:hAnsi="Calibri"/>
          <w:sz w:val="21"/>
          <w:szCs w:val="21"/>
        </w:rPr>
        <w:t xml:space="preserve"> at all times.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A party appointing a director may remove and replace that director by written notice.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quorum is </w:t>
      </w:r>
      <w:r>
        <w:rPr>
          <w:rFonts w:ascii="Calibri" w:cs="Calibri" w:eastAsia="Calibri" w:hAnsi="Calibri"/>
          <w:b/>
          <w:bCs/>
          <w:sz w:val="21"/>
          <w:szCs w:val="21"/>
        </w:rPr>
        <w:t xml:space="preserve">[2]</w:t>
      </w:r>
      <w:r>
        <w:rPr>
          <w:rFonts w:ascii="Calibri" w:cs="Calibri" w:eastAsia="Calibri" w:hAnsi="Calibri"/>
          <w:sz w:val="21"/>
          <w:szCs w:val="21"/>
        </w:rPr>
        <w:t xml:space="preserve"> directors, of whom at least one shall be an Investor Director, provided that if a quorum is not present at two consecutive properly convened meetings, the quorum at the next shall be any </w:t>
      </w:r>
      <w:r>
        <w:rPr>
          <w:rFonts w:ascii="Calibri" w:cs="Calibri" w:eastAsia="Calibri" w:hAnsi="Calibri"/>
          <w:b/>
          <w:bCs/>
          <w:sz w:val="21"/>
          <w:szCs w:val="21"/>
        </w:rPr>
        <w:t xml:space="preserve">[2]</w:t>
      </w:r>
      <w:r>
        <w:rPr>
          <w:rFonts w:ascii="Calibri" w:cs="Calibri" w:eastAsia="Calibri" w:hAnsi="Calibri"/>
          <w:sz w:val="21"/>
          <w:szCs w:val="21"/>
        </w:rPr>
        <w:t xml:space="preserve"> directors.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Board shall meet at least </w:t>
      </w:r>
      <w:r>
        <w:rPr>
          <w:rFonts w:ascii="Calibri" w:cs="Calibri" w:eastAsia="Calibri" w:hAnsi="Calibri"/>
          <w:b/>
          <w:bCs/>
          <w:sz w:val="21"/>
          <w:szCs w:val="21"/>
        </w:rPr>
        <w:t xml:space="preserve">[quarterly]</w:t>
      </w:r>
      <w:r>
        <w:rPr>
          <w:rFonts w:ascii="Calibri" w:cs="Calibri" w:eastAsia="Calibri" w:hAnsi="Calibri"/>
          <w:sz w:val="21"/>
          <w:szCs w:val="21"/>
        </w:rPr>
        <w:t xml:space="preserve">, on not less than </w:t>
      </w:r>
      <w:r>
        <w:rPr>
          <w:rFonts w:ascii="Calibri" w:cs="Calibri" w:eastAsia="Calibri" w:hAnsi="Calibri"/>
          <w:b/>
          <w:bCs/>
          <w:sz w:val="21"/>
          <w:szCs w:val="21"/>
        </w:rPr>
        <w:t xml:space="preserve">[7]</w:t>
      </w:r>
      <w:r>
        <w:rPr>
          <w:rFonts w:ascii="Calibri" w:cs="Calibri" w:eastAsia="Calibri" w:hAnsi="Calibri"/>
          <w:sz w:val="21"/>
          <w:szCs w:val="21"/>
        </w:rPr>
        <w:t xml:space="preserve"> days notice, with papers circulated in advance.</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[Investor observer]</w:t>
      </w:r>
      <w:r>
        <w:rPr>
          <w:rFonts w:ascii="Calibri" w:cs="Calibri" w:eastAsia="Calibri" w:hAnsi="Calibri"/>
          <w:sz w:val="21"/>
          <w:szCs w:val="21"/>
        </w:rPr>
        <w:t xml:space="preserve"> The Investor may appoint one observer to attend Board meetings without voting.</w:t>
      </w:r>
    </w:p>
    <w:p>
      <w:pPr>
        <w:spacing w:after="120" w:before="60" w:line="276"/>
        <w:ind w:left="720" w:hanging="720"/>
        <w:jc w:val="both"/>
      </w:pPr>
      <w:r>
        <w:rPr>
          <w:rFonts w:ascii="Calibri" w:cs="Calibri" w:eastAsia="Calibri" w:hAnsi="Calibri"/>
          <w:sz w:val="21"/>
          <w:szCs w:val="21"/>
        </w:rPr>
        <w:t xml:space="preserve">2.7	</w:t>
      </w:r>
      <w:r>
        <w:rPr>
          <w:rFonts w:ascii="Calibri" w:cs="Calibri" w:eastAsia="Calibri" w:hAnsi="Calibri"/>
          <w:sz w:val="21"/>
          <w:szCs w:val="21"/>
        </w:rPr>
        <w:t xml:space="preserve">The Company shall maintain directors’ and officers’ liability insurance and shall indemnify directors to the extent the Companies Act 1967 permits.</w:t>
      </w:r>
    </w:p>
    <w:p>
      <w:pPr>
        <w:keepNext/>
        <w:spacing w:after="120" w:before="280"/>
        <w:outlineLvl w:val="0"/>
      </w:pPr>
      <w:r>
        <w:rPr>
          <w:rFonts w:ascii="Calibri" w:cs="Calibri" w:eastAsia="Calibri" w:hAnsi="Calibri"/>
          <w:b/>
          <w:bCs/>
          <w:color w:val="14161B"/>
          <w:sz w:val="22"/>
          <w:szCs w:val="22"/>
        </w:rPr>
        <w:t xml:space="preserve">3. RESERVED MATTERS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shall not do any of the matters in Schedule 1 without the prior written consent of the </w:t>
      </w:r>
      <w:r>
        <w:rPr>
          <w:rFonts w:ascii="Calibri" w:cs="Calibri" w:eastAsia="Calibri" w:hAnsi="Calibri"/>
          <w:b/>
          <w:bCs/>
          <w:sz w:val="21"/>
          <w:szCs w:val="21"/>
        </w:rPr>
        <w:t xml:space="preserve">[Investor Majority]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Where consent is not refused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a written request containing reasonable particulars, it is </w:t>
      </w:r>
      <w:r>
        <w:rPr>
          <w:rFonts w:ascii="Calibri" w:cs="Calibri" w:eastAsia="Calibri" w:hAnsi="Calibri"/>
          <w:b/>
          <w:bCs/>
          <w:sz w:val="21"/>
          <w:szCs w:val="21"/>
        </w:rPr>
        <w:t xml:space="preserve">deemed given</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i/>
          <w:iCs/>
          <w:sz w:val="21"/>
          <w:szCs w:val="21"/>
        </w:rPr>
        <w:t xml:space="preserve">Clause 3.2 matters more than it appears. Without a deemed-consent mechanism, an unresponsive investor can paralyse the company by simply not replying.</w:t>
      </w:r>
    </w:p>
    <w:p>
      <w:pPr>
        <w:keepNext/>
        <w:spacing w:after="120" w:before="280"/>
        <w:outlineLvl w:val="0"/>
      </w:pPr>
      <w:r>
        <w:rPr>
          <w:rFonts w:ascii="Calibri" w:cs="Calibri" w:eastAsia="Calibri" w:hAnsi="Calibri"/>
          <w:b/>
          <w:bCs/>
          <w:color w:val="14161B"/>
          <w:sz w:val="22"/>
          <w:szCs w:val="22"/>
        </w:rPr>
        <w:t xml:space="preserve">4. INFORMATION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shall provide: monthly management accounts within </w:t>
      </w:r>
      <w:r>
        <w:rPr>
          <w:rFonts w:ascii="Calibri" w:cs="Calibri" w:eastAsia="Calibri" w:hAnsi="Calibri"/>
          <w:b/>
          <w:bCs/>
          <w:sz w:val="21"/>
          <w:szCs w:val="21"/>
        </w:rPr>
        <w:t xml:space="preserve">[30]</w:t>
      </w:r>
      <w:r>
        <w:rPr>
          <w:rFonts w:ascii="Calibri" w:cs="Calibri" w:eastAsia="Calibri" w:hAnsi="Calibri"/>
          <w:sz w:val="21"/>
          <w:szCs w:val="21"/>
        </w:rPr>
        <w:t xml:space="preserve"> days; annual audited or unaudited financial statements within </w:t>
      </w:r>
      <w:r>
        <w:rPr>
          <w:rFonts w:ascii="Calibri" w:cs="Calibri" w:eastAsia="Calibri" w:hAnsi="Calibri"/>
          <w:b/>
          <w:bCs/>
          <w:sz w:val="21"/>
          <w:szCs w:val="21"/>
        </w:rPr>
        <w:t xml:space="preserve">[120]</w:t>
      </w:r>
      <w:r>
        <w:rPr>
          <w:rFonts w:ascii="Calibri" w:cs="Calibri" w:eastAsia="Calibri" w:hAnsi="Calibri"/>
          <w:sz w:val="21"/>
          <w:szCs w:val="21"/>
        </w:rPr>
        <w:t xml:space="preserve"> days; an annual budget at least </w:t>
      </w:r>
      <w:r>
        <w:rPr>
          <w:rFonts w:ascii="Calibri" w:cs="Calibri" w:eastAsia="Calibri" w:hAnsi="Calibri"/>
          <w:b/>
          <w:bCs/>
          <w:sz w:val="21"/>
          <w:szCs w:val="21"/>
        </w:rPr>
        <w:t xml:space="preserve">[30]</w:t>
      </w:r>
      <w:r>
        <w:rPr>
          <w:rFonts w:ascii="Calibri" w:cs="Calibri" w:eastAsia="Calibri" w:hAnsi="Calibri"/>
          <w:sz w:val="21"/>
          <w:szCs w:val="21"/>
        </w:rPr>
        <w:t xml:space="preserve"> days before the year end; and prompt notice of any material adverse event, litigation, or breach of this agreement.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Company shall maintain an up-to-date </w:t>
      </w:r>
      <w:r>
        <w:rPr>
          <w:rFonts w:ascii="Calibri" w:cs="Calibri" w:eastAsia="Calibri" w:hAnsi="Calibri"/>
          <w:b/>
          <w:bCs/>
          <w:sz w:val="21"/>
          <w:szCs w:val="21"/>
        </w:rPr>
        <w:t xml:space="preserve">cap table</w:t>
      </w:r>
      <w:r>
        <w:rPr>
          <w:rFonts w:ascii="Calibri" w:cs="Calibri" w:eastAsia="Calibri" w:hAnsi="Calibri"/>
          <w:sz w:val="21"/>
          <w:szCs w:val="21"/>
        </w:rPr>
        <w:t xml:space="preserve"> and provide it on request.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Information rights are subject to confidentiality, and a shareholder that is or becomes a competitor may have its information rights suspended by the Board acting reasonably.</w:t>
      </w:r>
    </w:p>
    <w:p>
      <w:pPr>
        <w:keepNext/>
        <w:spacing w:after="120" w:before="280"/>
        <w:outlineLvl w:val="0"/>
      </w:pPr>
      <w:r>
        <w:rPr>
          <w:rFonts w:ascii="Calibri" w:cs="Calibri" w:eastAsia="Calibri" w:hAnsi="Calibri"/>
          <w:b/>
          <w:bCs/>
          <w:color w:val="14161B"/>
          <w:sz w:val="22"/>
          <w:szCs w:val="22"/>
        </w:rPr>
        <w:t xml:space="preserve">5. ISSUE OF NEW SHARES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Before issuing new shares, the Company shall offer them to existing shareholders </w:t>
      </w:r>
      <w:r>
        <w:rPr>
          <w:rFonts w:ascii="Calibri" w:cs="Calibri" w:eastAsia="Calibri" w:hAnsi="Calibri"/>
          <w:b/>
          <w:bCs/>
          <w:sz w:val="21"/>
          <w:szCs w:val="21"/>
        </w:rPr>
        <w:t xml:space="preserve">pro rata</w:t>
      </w:r>
      <w:r>
        <w:rPr>
          <w:rFonts w:ascii="Calibri" w:cs="Calibri" w:eastAsia="Calibri" w:hAnsi="Calibri"/>
          <w:sz w:val="21"/>
          <w:szCs w:val="21"/>
        </w:rPr>
        <w:t xml:space="preserve"> to their holdings, on the same terms, by notice giving not less than </w:t>
      </w:r>
      <w:r>
        <w:rPr>
          <w:rFonts w:ascii="Calibri" w:cs="Calibri" w:eastAsia="Calibri" w:hAnsi="Calibri"/>
          <w:b/>
          <w:bCs/>
          <w:sz w:val="21"/>
          <w:szCs w:val="21"/>
        </w:rPr>
        <w:t xml:space="preserve">[15]</w:t>
      </w:r>
      <w:r>
        <w:rPr>
          <w:rFonts w:ascii="Calibri" w:cs="Calibri" w:eastAsia="Calibri" w:hAnsi="Calibri"/>
          <w:sz w:val="21"/>
          <w:szCs w:val="21"/>
        </w:rPr>
        <w:t xml:space="preserve"> business days to accept.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Shares not taken up may be offered to accepting shareholders pro rata, and thereafter to a third party on terms no more favourable, within </w:t>
      </w:r>
      <w:r>
        <w:rPr>
          <w:rFonts w:ascii="Calibri" w:cs="Calibri" w:eastAsia="Calibri" w:hAnsi="Calibri"/>
          <w:b/>
          <w:bCs/>
          <w:sz w:val="21"/>
          <w:szCs w:val="21"/>
        </w:rPr>
        <w:t xml:space="preserve">[60]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Pre-emption does not apply to shares issued under the employee share scheme within the approved pool, on conversion of a convertible instrument, or as the parties unanimously agree.</w:t>
      </w:r>
    </w:p>
    <w:p>
      <w:pPr>
        <w:keepNext/>
        <w:spacing w:after="120" w:before="280"/>
        <w:outlineLvl w:val="0"/>
      </w:pPr>
      <w:r>
        <w:rPr>
          <w:rFonts w:ascii="Calibri" w:cs="Calibri" w:eastAsia="Calibri" w:hAnsi="Calibri"/>
          <w:b/>
          <w:bCs/>
          <w:color w:val="14161B"/>
          <w:sz w:val="22"/>
          <w:szCs w:val="22"/>
        </w:rPr>
        <w:t xml:space="preserve">6. TRANSFER OF SHARES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Lock-up.</w:t>
      </w:r>
      <w:r>
        <w:rPr>
          <w:rFonts w:ascii="Calibri" w:cs="Calibri" w:eastAsia="Calibri" w:hAnsi="Calibri"/>
          <w:sz w:val="21"/>
          <w:szCs w:val="21"/>
        </w:rPr>
        <w:t xml:space="preserve"> No Founder shall transfer shares before </w:t>
      </w:r>
      <w:r>
        <w:rPr>
          <w:rFonts w:ascii="Calibri" w:cs="Calibri" w:eastAsia="Calibri" w:hAnsi="Calibri"/>
          <w:b/>
          <w:bCs/>
          <w:sz w:val="21"/>
          <w:szCs w:val="21"/>
        </w:rPr>
        <w:t xml:space="preserve">[DATE]</w:t>
      </w:r>
      <w:r>
        <w:rPr>
          <w:rFonts w:ascii="Calibri" w:cs="Calibri" w:eastAsia="Calibri" w:hAnsi="Calibri"/>
          <w:sz w:val="21"/>
          <w:szCs w:val="21"/>
        </w:rPr>
        <w:t xml:space="preserve"> without the Investor Majority’s consent.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Pre-emption on transfer.</w:t>
      </w:r>
      <w:r>
        <w:rPr>
          <w:rFonts w:ascii="Calibri" w:cs="Calibri" w:eastAsia="Calibri" w:hAnsi="Calibri"/>
          <w:sz w:val="21"/>
          <w:szCs w:val="21"/>
        </w:rPr>
        <w:t xml:space="preserve"> A shareholder wishing to transfer shall first offer them to the other shareholders pro rata, at the price and on the terms of any bona fide third party offer, in accordance with Schedule 2.</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Permitted transfers.</w:t>
      </w:r>
      <w:r>
        <w:rPr>
          <w:rFonts w:ascii="Calibri" w:cs="Calibri" w:eastAsia="Calibri" w:hAnsi="Calibri"/>
          <w:sz w:val="21"/>
          <w:szCs w:val="21"/>
        </w:rPr>
        <w:t xml:space="preserve"> Clauses 6.1 and 6.2 do not apply to a transfer to a family trust or wholly owned entity of the transferor, or to an affiliate of an Investor, provided the transferee executes a deed of adherence and the transferor remains liable if the transferee ceases to qualify.</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Tag-along.</w:t>
      </w:r>
      <w:r>
        <w:rPr>
          <w:rFonts w:ascii="Calibri" w:cs="Calibri" w:eastAsia="Calibri" w:hAnsi="Calibri"/>
          <w:sz w:val="21"/>
          <w:szCs w:val="21"/>
        </w:rPr>
        <w:t xml:space="preserve"> Where shareholders holding more than </w:t>
      </w:r>
      <w:r>
        <w:rPr>
          <w:rFonts w:ascii="Calibri" w:cs="Calibri" w:eastAsia="Calibri" w:hAnsi="Calibri"/>
          <w:b/>
          <w:bCs/>
          <w:sz w:val="21"/>
          <w:szCs w:val="21"/>
        </w:rPr>
        <w:t xml:space="preserve">[50]</w:t>
      </w:r>
      <w:r>
        <w:rPr>
          <w:rFonts w:ascii="Calibri" w:cs="Calibri" w:eastAsia="Calibri" w:hAnsi="Calibri"/>
          <w:sz w:val="21"/>
          <w:szCs w:val="21"/>
        </w:rPr>
        <w:t xml:space="preserve"> per cent propose to transfer to a third party, the remaining shareholders may require the buyer to purchase their shares pro rata on the same terms. </w:t>
      </w:r>
      <w:r>
        <w:rPr>
          <w:rFonts w:ascii="Calibri" w:cs="Calibri" w:eastAsia="Calibri" w:hAnsi="Calibri"/>
          <w:b/>
          <w:bCs/>
          <w:sz w:val="21"/>
          <w:szCs w:val="21"/>
        </w:rPr>
        <w:t xml:space="preserve">A transfer made without offering tag-along rights is void.</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b/>
          <w:bCs/>
          <w:sz w:val="21"/>
          <w:szCs w:val="21"/>
        </w:rPr>
        <w:t xml:space="preserve">Drag-along.</w:t>
      </w:r>
      <w:r>
        <w:rPr>
          <w:rFonts w:ascii="Calibri" w:cs="Calibri" w:eastAsia="Calibri" w:hAnsi="Calibri"/>
          <w:sz w:val="21"/>
          <w:szCs w:val="21"/>
        </w:rPr>
        <w:t xml:space="preserve"> Where holders of </w:t>
      </w:r>
      <w:r>
        <w:rPr>
          <w:rFonts w:ascii="Calibri" w:cs="Calibri" w:eastAsia="Calibri" w:hAnsi="Calibri"/>
          <w:b/>
          <w:bCs/>
          <w:sz w:val="21"/>
          <w:szCs w:val="21"/>
        </w:rPr>
        <w:t xml:space="preserve">[75]</w:t>
      </w:r>
      <w:r>
        <w:rPr>
          <w:rFonts w:ascii="Calibri" w:cs="Calibri" w:eastAsia="Calibri" w:hAnsi="Calibri"/>
          <w:sz w:val="21"/>
          <w:szCs w:val="21"/>
        </w:rPr>
        <w:t xml:space="preserve"> per cent </w:t>
      </w:r>
      <w:r>
        <w:rPr>
          <w:rFonts w:ascii="Calibri" w:cs="Calibri" w:eastAsia="Calibri" w:hAnsi="Calibri"/>
          <w:b/>
          <w:bCs/>
          <w:sz w:val="21"/>
          <w:szCs w:val="21"/>
        </w:rPr>
        <w:t xml:space="preserve">[including the Investor Majority]</w:t>
      </w:r>
      <w:r>
        <w:rPr>
          <w:rFonts w:ascii="Calibri" w:cs="Calibri" w:eastAsia="Calibri" w:hAnsi="Calibri"/>
          <w:sz w:val="21"/>
          <w:szCs w:val="21"/>
        </w:rPr>
        <w:t xml:space="preserve"> accept a bona fide arm’s length offer for all the shares, they may require the remaining shareholders to sell on the same terms.</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A dragged shareholder shall not be required to give warranties beyond title and capacity, and any liability shall be </w:t>
      </w:r>
      <w:r>
        <w:rPr>
          <w:rFonts w:ascii="Calibri" w:cs="Calibri" w:eastAsia="Calibri" w:hAnsi="Calibri"/>
          <w:b/>
          <w:bCs/>
          <w:sz w:val="21"/>
          <w:szCs w:val="21"/>
        </w:rPr>
        <w:t xml:space="preserve">several and capped at the consideration received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sz w:val="21"/>
          <w:szCs w:val="21"/>
        </w:rPr>
        <w:t xml:space="preserve">No transfer is effective until the transferee executes a </w:t>
      </w:r>
      <w:r>
        <w:rPr>
          <w:rFonts w:ascii="Calibri" w:cs="Calibri" w:eastAsia="Calibri" w:hAnsi="Calibri"/>
          <w:b/>
          <w:bCs/>
          <w:sz w:val="21"/>
          <w:szCs w:val="21"/>
        </w:rPr>
        <w:t xml:space="preserve">deed of adherence</w:t>
      </w:r>
      <w:r>
        <w:rPr>
          <w:rFonts w:ascii="Calibri" w:cs="Calibri" w:eastAsia="Calibri" w:hAnsi="Calibri"/>
          <w:sz w:val="21"/>
          <w:szCs w:val="21"/>
        </w:rPr>
        <w:t xml:space="preserve">, the instrument of transfer is duly stamped, and the transfer is lodged with the Registrar.</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7. FOUNDERS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Each Founder shall devote their full working time to the Company and shall not engage in any competing business.</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Founder shares are subject to vesting as set out in Schedule 3, and to buyback of unvested shares at </w:t>
      </w:r>
      <w:r>
        <w:rPr>
          <w:rFonts w:ascii="Calibri" w:cs="Calibri" w:eastAsia="Calibri" w:hAnsi="Calibri"/>
          <w:b/>
          <w:bCs/>
          <w:sz w:val="21"/>
          <w:szCs w:val="21"/>
        </w:rPr>
        <w:t xml:space="preserve">[nominal value]</w:t>
      </w:r>
      <w:r>
        <w:rPr>
          <w:rFonts w:ascii="Calibri" w:cs="Calibri" w:eastAsia="Calibri" w:hAnsi="Calibri"/>
          <w:sz w:val="21"/>
          <w:szCs w:val="21"/>
        </w:rPr>
        <w:t xml:space="preserve"> on cessation.</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Each Founder assigns to the Company all intellectual property created before or after incorporation that relates to its business.</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Each Founder shall, 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ceasing to be an employee or director, not solicit customers or employees of the Company. </w:t>
      </w:r>
      <w:r>
        <w:rPr>
          <w:rFonts w:ascii="Calibri" w:cs="Calibri" w:eastAsia="Calibri" w:hAnsi="Calibri"/>
          <w:i/>
          <w:iCs/>
          <w:sz w:val="21"/>
          <w:szCs w:val="21"/>
        </w:rPr>
        <w:t xml:space="preserve">Keep this narrow — an over-broad restraint fails entirely in Singapore.</w:t>
      </w:r>
    </w:p>
    <w:p>
      <w:pPr>
        <w:keepNext/>
        <w:spacing w:after="120" w:before="280"/>
        <w:outlineLvl w:val="0"/>
      </w:pPr>
      <w:r>
        <w:rPr>
          <w:rFonts w:ascii="Calibri" w:cs="Calibri" w:eastAsia="Calibri" w:hAnsi="Calibri"/>
          <w:b/>
          <w:bCs/>
          <w:color w:val="14161B"/>
          <w:sz w:val="22"/>
          <w:szCs w:val="22"/>
        </w:rPr>
        <w:t xml:space="preserve">8. EXIT</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parties shall use reasonable efforts to achieve an exit by </w:t>
      </w:r>
      <w:r>
        <w:rPr>
          <w:rFonts w:ascii="Calibri" w:cs="Calibri" w:eastAsia="Calibri" w:hAnsi="Calibri"/>
          <w:b/>
          <w:bCs/>
          <w:sz w:val="21"/>
          <w:szCs w:val="21"/>
        </w:rPr>
        <w:t xml:space="preserve">[DATE]</w:t>
      </w:r>
      <w:r>
        <w:rPr>
          <w:rFonts w:ascii="Calibri" w:cs="Calibri" w:eastAsia="Calibri" w:hAnsi="Calibri"/>
          <w:sz w:val="21"/>
          <w:szCs w:val="21"/>
        </w:rPr>
        <w:t xml:space="preserve">, by trade sale or listing.</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On a return of capital, the proceeds shall be applied in the order set out in Schedule 4 (the liquidation waterfall).</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On a listing, the Preference Shares convert to ordinary shares and this agreement terminates, save for surviving provisions.</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Each party shall co-operate with a bona fide exit process approved in accordance with this agreement, including providing information and executing documents.</w:t>
      </w:r>
    </w:p>
    <w:p>
      <w:pPr>
        <w:keepNext/>
        <w:spacing w:after="120" w:before="280"/>
        <w:outlineLvl w:val="0"/>
      </w:pPr>
      <w:r>
        <w:rPr>
          <w:rFonts w:ascii="Calibri" w:cs="Calibri" w:eastAsia="Calibri" w:hAnsi="Calibri"/>
          <w:b/>
          <w:bCs/>
          <w:color w:val="14161B"/>
          <w:sz w:val="22"/>
          <w:szCs w:val="22"/>
        </w:rPr>
        <w:t xml:space="preserve">9. DEADLOCK AND DISPUTES</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Where the Board or shareholders cannot resolve a matter, it shall be referred to a meeting of the </w:t>
      </w:r>
      <w:r>
        <w:rPr>
          <w:rFonts w:ascii="Calibri" w:cs="Calibri" w:eastAsia="Calibri" w:hAnsi="Calibri"/>
          <w:b/>
          <w:bCs/>
          <w:sz w:val="21"/>
          <w:szCs w:val="21"/>
        </w:rPr>
        <w:t xml:space="preserve">[Founders and the Investor]</w:t>
      </w:r>
      <w:r>
        <w:rPr>
          <w:rFonts w:ascii="Calibri" w:cs="Calibri" w:eastAsia="Calibri" w:hAnsi="Calibri"/>
          <w:sz w:val="21"/>
          <w:szCs w:val="21"/>
        </w:rPr>
        <w:t xml:space="preserve"> within </w:t>
      </w:r>
      <w:r>
        <w:rPr>
          <w:rFonts w:ascii="Calibri" w:cs="Calibri" w:eastAsia="Calibri" w:hAnsi="Calibri"/>
          <w:b/>
          <w:bCs/>
          <w:sz w:val="21"/>
          <w:szCs w:val="21"/>
        </w:rPr>
        <w:t xml:space="preserve">[14]</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Failing resolution, the parties shall refer the matter to mediation before commencing proceedings.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b/>
          <w:bCs/>
          <w:sz w:val="21"/>
          <w:szCs w:val="21"/>
        </w:rPr>
        <w:t xml:space="preserve">[Where a buy-sell mechanism is agreed]</w:t>
      </w:r>
      <w:r>
        <w:rPr>
          <w:rFonts w:ascii="Calibri" w:cs="Calibri" w:eastAsia="Calibri" w:hAnsi="Calibri"/>
          <w:sz w:val="21"/>
          <w:szCs w:val="21"/>
        </w:rPr>
        <w:t xml:space="preserve"> If deadlock persists for </w:t>
      </w:r>
      <w:r>
        <w:rPr>
          <w:rFonts w:ascii="Calibri" w:cs="Calibri" w:eastAsia="Calibri" w:hAnsi="Calibri"/>
          <w:b/>
          <w:bCs/>
          <w:sz w:val="21"/>
          <w:szCs w:val="21"/>
        </w:rPr>
        <w:t xml:space="preserve">[60]</w:t>
      </w:r>
      <w:r>
        <w:rPr>
          <w:rFonts w:ascii="Calibri" w:cs="Calibri" w:eastAsia="Calibri" w:hAnsi="Calibri"/>
          <w:sz w:val="21"/>
          <w:szCs w:val="21"/>
        </w:rPr>
        <w:t xml:space="preserve"> days, </w:t>
      </w:r>
      <w:r>
        <w:rPr>
          <w:rFonts w:ascii="Calibri" w:cs="Calibri" w:eastAsia="Calibri" w:hAnsi="Calibri"/>
          <w:b/>
          <w:bCs/>
          <w:sz w:val="21"/>
          <w:szCs w:val="21"/>
        </w:rPr>
        <w:t xml:space="preserve">[describe the mechanism — take advice, as these clauses favour the party with more capital]</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10. GENERAL</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Each party shall keep the Company’s confidential information confidential.</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This agreement terminates as to a party when it ceases to hold shares, save for surviving obligations.</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This agreement may be amended with the written consent of </w:t>
      </w:r>
      <w:r>
        <w:rPr>
          <w:rFonts w:ascii="Calibri" w:cs="Calibri" w:eastAsia="Calibri" w:hAnsi="Calibri"/>
          <w:b/>
          <w:bCs/>
          <w:sz w:val="21"/>
          <w:szCs w:val="21"/>
        </w:rPr>
        <w:t xml:space="preserve">[the Company, Founders holding a majority of Founder shares, and the Investor Majority]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A person who is not a party has no right under the Contracts (Rights of Third Parties) Act 2001 to enforce any term.</w:t>
      </w:r>
    </w:p>
    <w:p>
      <w:pPr>
        <w:spacing w:after="120" w:before="60" w:line="276"/>
        <w:ind w:left="720" w:hanging="720"/>
        <w:jc w:val="both"/>
      </w:pPr>
      <w:r>
        <w:rPr>
          <w:rFonts w:ascii="Calibri" w:cs="Calibri" w:eastAsia="Calibri" w:hAnsi="Calibri"/>
          <w:sz w:val="21"/>
          <w:szCs w:val="21"/>
        </w:rPr>
        <w:t xml:space="preserve">10.5	</w:t>
      </w:r>
      <w:r>
        <w:rPr>
          <w:rFonts w:ascii="Calibri" w:cs="Calibri" w:eastAsia="Calibri" w:hAnsi="Calibri"/>
          <w:sz w:val="21"/>
          <w:szCs w:val="21"/>
        </w:rPr>
        <w:t xml:space="preserve">This agreement is governed by the laws of Singapore and the parties submit to the exclusive jurisdiction of the Singapore courts.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Company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1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Investor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Reserved Matters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1734"/>
        <w:gridCol w:w="2508"/>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Matter</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Threshold</w:t>
            </w:r>
          </w:p>
        </w:tc>
        <w:tc>
          <w:tcPr>
            <w:tcW w:type="dxa" w:w="25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Consent of</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Amending the constitution or the rights of any class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Issuing shares or creating a new class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Increasing the employee share pool</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Declaring a dividend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Winding up, merger, or sale of the business or substantially all assets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Changing the nature of the business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Borrowing or granting security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Above S$ </w:t>
            </w:r>
            <w:r>
              <w:rPr>
                <w:rFonts w:ascii="Calibri" w:cs="Calibri" w:eastAsia="Calibri" w:hAnsi="Calibri"/>
                <w:b/>
                <w:bCs/>
                <w:sz w:val="17"/>
                <w:szCs w:val="17"/>
              </w:rPr>
              <w:t xml:space="preserve">[AMOUNT]</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Capital expenditure outside the approved budget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Above S$ </w:t>
            </w:r>
            <w:r>
              <w:rPr>
                <w:rFonts w:ascii="Calibri" w:cs="Calibri" w:eastAsia="Calibri" w:hAnsi="Calibri"/>
                <w:b/>
                <w:bCs/>
                <w:sz w:val="17"/>
                <w:szCs w:val="17"/>
              </w:rPr>
              <w:t xml:space="preserve">[AMOUNT]</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Entering, varying or terminating a material contract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Above S$ </w:t>
            </w:r>
            <w:r>
              <w:rPr>
                <w:rFonts w:ascii="Calibri" w:cs="Calibri" w:eastAsia="Calibri" w:hAnsi="Calibri"/>
                <w:b/>
                <w:bCs/>
                <w:sz w:val="17"/>
                <w:szCs w:val="17"/>
              </w:rPr>
              <w:t xml:space="preserve">[AMOUNT]</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Related party transactions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Appointing or removing the chief executive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Remuneration of founders or directors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Above S$ </w:t>
            </w:r>
            <w:r>
              <w:rPr>
                <w:rFonts w:ascii="Calibri" w:cs="Calibri" w:eastAsia="Calibri" w:hAnsi="Calibri"/>
                <w:b/>
                <w:bCs/>
                <w:sz w:val="17"/>
                <w:szCs w:val="17"/>
              </w:rPr>
              <w:t xml:space="preserve">[AMOUNT]</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Approving the annual budget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[Board, including an Investor Director]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Commencing or settling litigation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Above S$ </w:t>
            </w:r>
            <w:r>
              <w:rPr>
                <w:rFonts w:ascii="Calibri" w:cs="Calibri" w:eastAsia="Calibri" w:hAnsi="Calibri"/>
                <w:b/>
                <w:bCs/>
                <w:sz w:val="17"/>
                <w:szCs w:val="17"/>
              </w:rPr>
              <w:t xml:space="preserve">[AMOUNT]</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[Board]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Changing auditors or accounting reference date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[Board]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Establishing a subsidiary or acquiring a business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Majority]</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4</w:t>
      </w:r>
    </w:p>
    <w:p>
      <w:pPr>
        <w:spacing w:after="260"/>
        <w:jc w:val="center"/>
      </w:pPr>
      <w:r>
        <w:rPr>
          <w:rFonts w:ascii="Calibri" w:cs="Calibri" w:eastAsia="Calibri" w:hAnsi="Calibri"/>
          <w:i/>
          <w:iCs/>
          <w:color w:val="6E7480"/>
          <w:sz w:val="19"/>
          <w:szCs w:val="19"/>
        </w:rPr>
        <w:t xml:space="preserve">Liquidation Waterfall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963"/>
        <w:gridCol w:w="5011"/>
        <w:gridCol w:w="3664"/>
      </w:tblGrid>
      <w:tr>
        <w:trPr>
          <w:tblHeader/>
        </w:trPr>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Order</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Applied to</w:t>
            </w:r>
          </w:p>
        </w:tc>
        <w:tc>
          <w:tcPr>
            <w:tcW w:type="dxa" w:w="36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Creditors, including any convertible note holders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 full</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[Series A Preference]</w:t>
            </w:r>
            <w:r>
              <w:rPr>
                <w:rFonts w:ascii="Calibri" w:cs="Calibri" w:eastAsia="Calibri" w:hAnsi="Calibri"/>
                <w:sz w:val="18"/>
                <w:szCs w:val="18"/>
              </w:rPr>
              <w:t xml:space="preserve"> — liquidation preference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w:t>
            </w:r>
            <w:r>
              <w:rPr>
                <w:rFonts w:ascii="Calibri" w:cs="Calibri" w:eastAsia="Calibri" w:hAnsi="Calibri"/>
                <w:b/>
                <w:bCs/>
                <w:sz w:val="18"/>
                <w:szCs w:val="18"/>
              </w:rPr>
              <w:t xml:space="preserve">×</w:t>
            </w:r>
            <w:r>
              <w:rPr>
                <w:rFonts w:ascii="Calibri" w:cs="Calibri" w:eastAsia="Calibri" w:hAnsi="Calibri"/>
                <w:sz w:val="18"/>
                <w:szCs w:val="18"/>
              </w:rPr>
              <w:t xml:space="preserve"> the subscription amount </w:t>
            </w:r>
            <w:r>
              <w:rPr>
                <w:rFonts w:ascii="Calibri" w:cs="Calibri" w:eastAsia="Calibri" w:hAnsi="Calibri"/>
                <w:b/>
                <w:bCs/>
                <w:sz w:val="18"/>
                <w:szCs w:val="18"/>
              </w:rPr>
              <w:t xml:space="preserve">[plus declared but unpaid dividends]</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[Where non-participating]</w:t>
            </w:r>
            <w:r>
              <w:rPr>
                <w:rFonts w:ascii="Calibri" w:cs="Calibri" w:eastAsia="Calibri" w:hAnsi="Calibri"/>
                <w:sz w:val="18"/>
                <w:szCs w:val="18"/>
              </w:rPr>
              <w:t xml:space="preserve"> Preference holders take the greater of step 2 or their converted pro rata share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[Where participating]</w:t>
            </w:r>
            <w:r>
              <w:rPr>
                <w:rFonts w:ascii="Calibri" w:cs="Calibri" w:eastAsia="Calibri" w:hAnsi="Calibri"/>
                <w:sz w:val="18"/>
                <w:szCs w:val="18"/>
              </w:rPr>
              <w:t xml:space="preserve"> Preference holders also share pro rata in the balance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[Uncapped / capped at ______×]</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Ordinary shareholders, including converted options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balance, pro rata</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Keep the constitution aligned</w:t>
      </w:r>
    </w:p>
    <w:p>
      <w:pPr>
        <w:spacing w:after="60" w:line="264"/>
        <w:jc w:val="both"/>
      </w:pPr>
      <w:r>
        <w:rPr>
          <w:rFonts w:ascii="Calibri" w:cs="Calibri" w:eastAsia="Calibri" w:hAnsi="Calibri"/>
          <w:sz w:val="19"/>
          <w:szCs w:val="19"/>
        </w:rPr>
        <w:t xml:space="preserve">The agreement binds the parties contractually; the constitution governs the company. Where they diverge, a resolution can be validly passed under the constitution while breaching the agreement. Amend both together — and note that the Model Constitution applies by default if none is registered, which is almost never what a company with investors wants.</w:t>
      </w:r>
    </w:p>
    <w:p>
      <w:pPr>
        <w:keepNext/>
        <w:spacing w:after="40" w:before="140"/>
      </w:pPr>
      <w:r>
        <w:rPr>
          <w:rFonts w:ascii="Calibri" w:cs="Calibri" w:eastAsia="Calibri" w:hAnsi="Calibri"/>
          <w:b/>
          <w:bCs/>
          <w:color w:val="14161B"/>
          <w:sz w:val="20"/>
          <w:szCs w:val="20"/>
        </w:rPr>
        <w:t xml:space="preserve">Reserved matters are the real control mechanism</w:t>
      </w:r>
    </w:p>
    <w:p>
      <w:pPr>
        <w:spacing w:after="60" w:line="264"/>
        <w:jc w:val="both"/>
      </w:pPr>
      <w:r>
        <w:rPr>
          <w:rFonts w:ascii="Calibri" w:cs="Calibri" w:eastAsia="Calibri" w:hAnsi="Calibri"/>
          <w:sz w:val="19"/>
          <w:szCs w:val="19"/>
        </w:rPr>
        <w:t xml:space="preserve">Board seats are visible; reserved matters are what determine who can actually do anything. A minority investor with consent rights over budgets, hiring, borrowing and material contracts controls the business. Set the thresholds high enough that ordinary operations do not require consent, and review Schedule 1 line by line.</w:t>
      </w:r>
    </w:p>
    <w:p>
      <w:pPr>
        <w:keepNext/>
        <w:spacing w:after="40" w:before="140"/>
      </w:pPr>
      <w:r>
        <w:rPr>
          <w:rFonts w:ascii="Calibri" w:cs="Calibri" w:eastAsia="Calibri" w:hAnsi="Calibri"/>
          <w:b/>
          <w:bCs/>
          <w:color w:val="14161B"/>
          <w:sz w:val="20"/>
          <w:szCs w:val="20"/>
        </w:rPr>
        <w:t xml:space="preserve">Deemed consent prevents paralysis</w:t>
      </w:r>
    </w:p>
    <w:p>
      <w:pPr>
        <w:spacing w:after="60" w:line="264"/>
        <w:jc w:val="both"/>
      </w:pPr>
      <w:r>
        <w:rPr>
          <w:rFonts w:ascii="Calibri" w:cs="Calibri" w:eastAsia="Calibri" w:hAnsi="Calibri"/>
          <w:sz w:val="19"/>
          <w:szCs w:val="19"/>
        </w:rPr>
        <w:t xml:space="preserve">Clause 3.2 treats consent as given if not refused within ten business days. Without it, an investor who has become unresponsive — fund wound down, partner departed, simply disengaged — can stop the company acting at all. This is a small clause that prevents a serious problem.</w:t>
      </w:r>
    </w:p>
    <w:p>
      <w:pPr>
        <w:keepNext/>
        <w:spacing w:after="40" w:before="140"/>
      </w:pPr>
      <w:r>
        <w:rPr>
          <w:rFonts w:ascii="Calibri" w:cs="Calibri" w:eastAsia="Calibri" w:hAnsi="Calibri"/>
          <w:b/>
          <w:bCs/>
          <w:color w:val="14161B"/>
          <w:sz w:val="20"/>
          <w:szCs w:val="20"/>
        </w:rPr>
        <w:t xml:space="preserve">Tag-along protects the minority; drag-along protects the exit</w:t>
      </w:r>
    </w:p>
    <w:p>
      <w:pPr>
        <w:spacing w:after="60" w:line="264"/>
        <w:jc w:val="both"/>
      </w:pPr>
      <w:r>
        <w:rPr>
          <w:rFonts w:ascii="Calibri" w:cs="Calibri" w:eastAsia="Calibri" w:hAnsi="Calibri"/>
          <w:sz w:val="19"/>
          <w:szCs w:val="19"/>
        </w:rPr>
        <w:t xml:space="preserve">Tag lets minority holders join a sale on the same terms. Drag lets a defined majority compel everyone to sell. Both are standard. What matters is the drag threshold — who can trigger it, and whether the investor alone can force a sale founders do not want.</w:t>
      </w:r>
    </w:p>
    <w:p>
      <w:pPr>
        <w:keepNext/>
        <w:spacing w:after="40" w:before="140"/>
      </w:pPr>
      <w:r>
        <w:rPr>
          <w:rFonts w:ascii="Calibri" w:cs="Calibri" w:eastAsia="Calibri" w:hAnsi="Calibri"/>
          <w:b/>
          <w:bCs/>
          <w:color w:val="14161B"/>
          <w:sz w:val="20"/>
          <w:szCs w:val="20"/>
        </w:rPr>
        <w:t xml:space="preserve">Limit what a dragged shareholder must warrant</w:t>
      </w:r>
    </w:p>
    <w:p>
      <w:pPr>
        <w:spacing w:after="60" w:line="264"/>
        <w:jc w:val="both"/>
      </w:pPr>
      <w:r>
        <w:rPr>
          <w:rFonts w:ascii="Calibri" w:cs="Calibri" w:eastAsia="Calibri" w:hAnsi="Calibri"/>
          <w:sz w:val="19"/>
          <w:szCs w:val="19"/>
        </w:rPr>
        <w:t xml:space="preserve">Clause 6.6 restricts a dragged party to warranties on title and capacity, with several and capped liability. Without it, a minority holder can be compelled to sell and then give full business warranties on a company they do not run. Founders and small holders should insist on this.</w:t>
      </w:r>
    </w:p>
    <w:p>
      <w:pPr>
        <w:keepNext/>
        <w:spacing w:after="40" w:before="140"/>
      </w:pPr>
      <w:r>
        <w:rPr>
          <w:rFonts w:ascii="Calibri" w:cs="Calibri" w:eastAsia="Calibri" w:hAnsi="Calibri"/>
          <w:b/>
          <w:bCs/>
          <w:color w:val="14161B"/>
          <w:sz w:val="20"/>
          <w:szCs w:val="20"/>
        </w:rPr>
        <w:t xml:space="preserve">Void the transfer that ignores tag</w:t>
      </w:r>
    </w:p>
    <w:p>
      <w:pPr>
        <w:spacing w:after="60" w:line="264"/>
        <w:jc w:val="both"/>
      </w:pPr>
      <w:r>
        <w:rPr>
          <w:rFonts w:ascii="Calibri" w:cs="Calibri" w:eastAsia="Calibri" w:hAnsi="Calibri"/>
          <w:sz w:val="19"/>
          <w:szCs w:val="19"/>
        </w:rPr>
        <w:t xml:space="preserve">Clause 6.4 makes a transfer in breach of tag-along void rather than merely a breach of contract. A damages claim against a founder who has already sold and left is a poor remedy; blocking the transfer is a real one.</w:t>
      </w:r>
    </w:p>
    <w:p>
      <w:pPr>
        <w:keepNext/>
        <w:spacing w:after="40" w:before="140"/>
      </w:pPr>
      <w:r>
        <w:rPr>
          <w:rFonts w:ascii="Calibri" w:cs="Calibri" w:eastAsia="Calibri" w:hAnsi="Calibri"/>
          <w:b/>
          <w:bCs/>
          <w:color w:val="14161B"/>
          <w:sz w:val="20"/>
          <w:szCs w:val="20"/>
        </w:rPr>
        <w:t xml:space="preserve">Quorum clauses can create a veto</w:t>
      </w:r>
    </w:p>
    <w:p>
      <w:pPr>
        <w:spacing w:after="60" w:line="264"/>
        <w:jc w:val="both"/>
      </w:pPr>
      <w:r>
        <w:rPr>
          <w:rFonts w:ascii="Calibri" w:cs="Calibri" w:eastAsia="Calibri" w:hAnsi="Calibri"/>
          <w:sz w:val="19"/>
          <w:szCs w:val="19"/>
        </w:rPr>
        <w:t xml:space="preserve">A quorum requiring an Investor Director means the investor can block every board meeting by not attending. Clause 2.4 includes a fallback after two failed meetings, which is the standard answer. Without it, attendance becomes a control right nobody negotiated.</w:t>
      </w:r>
    </w:p>
    <w:p>
      <w:pPr>
        <w:keepNext/>
        <w:spacing w:after="40" w:before="140"/>
      </w:pPr>
      <w:r>
        <w:rPr>
          <w:rFonts w:ascii="Calibri" w:cs="Calibri" w:eastAsia="Calibri" w:hAnsi="Calibri"/>
          <w:b/>
          <w:bCs/>
          <w:color w:val="14161B"/>
          <w:sz w:val="20"/>
          <w:szCs w:val="20"/>
        </w:rPr>
        <w:t xml:space="preserve">Model the waterfall before agreeing the preference</w:t>
      </w:r>
    </w:p>
    <w:p>
      <w:pPr>
        <w:spacing w:after="60" w:line="264"/>
        <w:jc w:val="both"/>
      </w:pPr>
      <w:r>
        <w:rPr>
          <w:rFonts w:ascii="Calibri" w:cs="Calibri" w:eastAsia="Calibri" w:hAnsi="Calibri"/>
          <w:sz w:val="19"/>
          <w:szCs w:val="19"/>
        </w:rPr>
        <w:t xml:space="preserve">Schedule 4 sets the order of distribution on an exit. A participating preference means the investor takes its money back </w:t>
      </w:r>
      <w:r>
        <w:rPr>
          <w:rFonts w:ascii="Calibri" w:cs="Calibri" w:eastAsia="Calibri" w:hAnsi="Calibri"/>
          <w:b/>
          <w:bCs/>
          <w:sz w:val="19"/>
          <w:szCs w:val="19"/>
        </w:rPr>
        <w:t xml:space="preserve">and</w:t>
      </w:r>
      <w:r>
        <w:rPr>
          <w:rFonts w:ascii="Calibri" w:cs="Calibri" w:eastAsia="Calibri" w:hAnsi="Calibri"/>
          <w:sz w:val="19"/>
          <w:szCs w:val="19"/>
        </w:rPr>
        <w:t xml:space="preserve"> shares the balance, which at modest exit values can leave founders with very little. Run the numbers at several exit values rather than only the optimistic one.</w:t>
      </w:r>
    </w:p>
    <w:p>
      <w:pPr>
        <w:keepNext/>
        <w:spacing w:after="40" w:before="140"/>
      </w:pPr>
      <w:r>
        <w:rPr>
          <w:rFonts w:ascii="Calibri" w:cs="Calibri" w:eastAsia="Calibri" w:hAnsi="Calibri"/>
          <w:b/>
          <w:bCs/>
          <w:color w:val="14161B"/>
          <w:sz w:val="20"/>
          <w:szCs w:val="20"/>
        </w:rPr>
        <w:t xml:space="preserve">Deed of adherence, every time</w:t>
      </w:r>
    </w:p>
    <w:p>
      <w:pPr>
        <w:spacing w:after="60" w:line="264"/>
        <w:jc w:val="both"/>
      </w:pPr>
      <w:r>
        <w:rPr>
          <w:rFonts w:ascii="Calibri" w:cs="Calibri" w:eastAsia="Calibri" w:hAnsi="Calibri"/>
          <w:sz w:val="19"/>
          <w:szCs w:val="19"/>
        </w:rPr>
        <w:t xml:space="preserve">A shareholder who has not acceded is not bound by transfer restrictions, drag, tag or information provisions. Clause 6.7 makes adherence a condition of an effective transfer. This is the provision most often skipped on small transfers and option exercises.</w:t>
      </w:r>
    </w:p>
    <w:p>
      <w:pPr>
        <w:keepNext/>
        <w:spacing w:after="40" w:before="140"/>
      </w:pPr>
      <w:r>
        <w:rPr>
          <w:rFonts w:ascii="Calibri" w:cs="Calibri" w:eastAsia="Calibri" w:hAnsi="Calibri"/>
          <w:b/>
          <w:bCs/>
          <w:color w:val="14161B"/>
          <w:sz w:val="20"/>
          <w:szCs w:val="20"/>
        </w:rPr>
        <w:t xml:space="preserve">Stamp the transfer and lodge it</w:t>
      </w:r>
    </w:p>
    <w:p>
      <w:pPr>
        <w:spacing w:after="60" w:line="264"/>
        <w:jc w:val="both"/>
      </w:pPr>
      <w:r>
        <w:rPr>
          <w:rFonts w:ascii="Calibri" w:cs="Calibri" w:eastAsia="Calibri" w:hAnsi="Calibri"/>
          <w:sz w:val="19"/>
          <w:szCs w:val="19"/>
        </w:rPr>
        <w:t xml:space="preserve">Share transfers attract stamp duty and must be stamped within the prescribed period; an unstamped instrument is inadmissible in evidence. And because the register of members maintained by the Registrar is prima facie evidence of title for a private company, a transfer not lodged leaves the register wrong.</w:t>
      </w:r>
    </w:p>
    <w:p>
      <w:pPr>
        <w:keepNext/>
        <w:spacing w:after="40" w:before="140"/>
      </w:pPr>
      <w:r>
        <w:rPr>
          <w:rFonts w:ascii="Calibri" w:cs="Calibri" w:eastAsia="Calibri" w:hAnsi="Calibri"/>
          <w:b/>
          <w:bCs/>
          <w:color w:val="14161B"/>
          <w:sz w:val="20"/>
          <w:szCs w:val="20"/>
        </w:rPr>
        <w:t xml:space="preserve">Handle competitor shareholders explicitly</w:t>
      </w:r>
    </w:p>
    <w:p>
      <w:pPr>
        <w:spacing w:after="60" w:line="264"/>
        <w:jc w:val="both"/>
      </w:pPr>
      <w:r>
        <w:rPr>
          <w:rFonts w:ascii="Calibri" w:cs="Calibri" w:eastAsia="Calibri" w:hAnsi="Calibri"/>
          <w:sz w:val="19"/>
          <w:szCs w:val="19"/>
        </w:rPr>
        <w:t xml:space="preserve">Clause 4.3 allows information rights to be suspended where a shareholder becomes a competitor — typically because an investor has backed a rival. Without it, the company must keep supplying management accounts to a competitor.</w:t>
      </w:r>
    </w:p>
    <w:p>
      <w:pPr>
        <w:keepNext/>
        <w:spacing w:after="40" w:before="140"/>
      </w:pPr>
      <w:r>
        <w:rPr>
          <w:rFonts w:ascii="Calibri" w:cs="Calibri" w:eastAsia="Calibri" w:hAnsi="Calibri"/>
          <w:b/>
          <w:bCs/>
          <w:color w:val="14161B"/>
          <w:sz w:val="20"/>
          <w:szCs w:val="20"/>
        </w:rPr>
        <w:t xml:space="preserve">Keep founder restraints narrow</w:t>
      </w:r>
    </w:p>
    <w:p>
      <w:pPr>
        <w:spacing w:after="60" w:line="264"/>
        <w:jc w:val="both"/>
      </w:pPr>
      <w:r>
        <w:rPr>
          <w:rFonts w:ascii="Calibri" w:cs="Calibri" w:eastAsia="Calibri" w:hAnsi="Calibri"/>
          <w:sz w:val="19"/>
          <w:szCs w:val="19"/>
        </w:rPr>
        <w:t xml:space="preserve">Restraints are enforceable in Singapore only so far as reasonable, and an over-broad covenant fails entirely rather than being read down. A twelve-month non-solicitation confined to customers and colleagues the founder actually dealt with is defensible; a broad non-compete frequently is not.</w:t>
      </w:r>
    </w:p>
    <w:p>
      <w:pPr>
        <w:keepNext/>
        <w:spacing w:after="40" w:before="140"/>
      </w:pPr>
      <w:r>
        <w:rPr>
          <w:rFonts w:ascii="Calibri" w:cs="Calibri" w:eastAsia="Calibri" w:hAnsi="Calibri"/>
          <w:b/>
          <w:bCs/>
          <w:color w:val="14161B"/>
          <w:sz w:val="20"/>
          <w:szCs w:val="20"/>
        </w:rPr>
        <w:t xml:space="preserve">Deadlock mechanisms favour whoever has more capital</w:t>
      </w:r>
    </w:p>
    <w:p>
      <w:pPr>
        <w:spacing w:after="60" w:line="264"/>
        <w:jc w:val="both"/>
      </w:pPr>
      <w:r>
        <w:rPr>
          <w:rFonts w:ascii="Calibri" w:cs="Calibri" w:eastAsia="Calibri" w:hAnsi="Calibri"/>
          <w:sz w:val="19"/>
          <w:szCs w:val="19"/>
        </w:rPr>
        <w:t xml:space="preserve">Buy-sell and shootout provisions sound even-handed and are not: the party able to fund a purchase controls the outcome. Take advice before including one, and consider whether mediation plus a clear reserved-matters list is sufficient.</w:t>
      </w:r>
    </w:p>
    <w:p>
      <w:pPr>
        <w:keepNext/>
        <w:spacing w:after="40" w:before="140"/>
      </w:pPr>
      <w:r>
        <w:rPr>
          <w:rFonts w:ascii="Calibri" w:cs="Calibri" w:eastAsia="Calibri" w:hAnsi="Calibri"/>
          <w:b/>
          <w:bCs/>
          <w:color w:val="14161B"/>
          <w:sz w:val="20"/>
          <w:szCs w:val="20"/>
        </w:rPr>
        <w:t xml:space="preserve">Amendment rights should require founder consent too</w:t>
      </w:r>
    </w:p>
    <w:p>
      <w:pPr>
        <w:spacing w:after="60" w:line="264"/>
        <w:jc w:val="both"/>
      </w:pPr>
      <w:r>
        <w:rPr>
          <w:rFonts w:ascii="Calibri" w:cs="Calibri" w:eastAsia="Calibri" w:hAnsi="Calibri"/>
          <w:sz w:val="19"/>
          <w:szCs w:val="19"/>
        </w:rPr>
        <w:t xml:space="preserve">Clause 10.3 requires consent from the Company, a founder majority and the investor majority. An amendment clause requiring only the investor majority allows the terms to be changed against the founders — check this in any draft presented as standard.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VIMA publishes a model shareholders’ agreement that is a sensible starting point, market terms move, and requirements under the Companies Act 1967 including transfer, allotment and stamp duty change — take legal advice before signing, and model the waterfall before agreeing the preference.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2026-08-22T06:55:31.487Z</dcterms:created>
  <dcterms:modified xsi:type="dcterms:W3CDTF">2026-08-22T06:55:31.487Z</dcterms:modified>
</cp:coreProperties>
</file>

<file path=docProps/custom.xml><?xml version="1.0" encoding="utf-8"?>
<Properties xmlns="http://schemas.openxmlformats.org/officeDocument/2006/custom-properties" xmlns:vt="http://schemas.openxmlformats.org/officeDocument/2006/docPropsVTypes"/>
</file>