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 SUBSCRIPTION AGREEMENT</w:t>
      </w:r>
    </w:p>
    <w:p>
      <w:pPr>
        <w:spacing w:after="260"/>
        <w:jc w:val="center"/>
      </w:pPr>
      <w:r>
        <w:rPr>
          <w:rFonts w:ascii="Calibri" w:cs="Calibri" w:eastAsia="Calibri" w:hAnsi="Calibri"/>
          <w:i/>
          <w:iCs/>
          <w:color w:val="6E7480"/>
          <w:sz w:val="19"/>
          <w:szCs w:val="19"/>
        </w:rPr>
        <w:t xml:space="preserve">Issue of new shares to an investor</w:t>
      </w:r>
    </w:p>
    <w:p>
      <w:pPr>
        <w:spacing w:after="180" w:before="0" w:line="276"/>
        <w:jc w:val="both"/>
      </w:pPr>
      <w:r>
        <w:rPr>
          <w:rFonts w:ascii="Calibri" w:cs="Calibri" w:eastAsia="Calibri" w:hAnsi="Calibri"/>
          <w:i/>
          <w:iCs/>
          <w:color w:val="6E7480"/>
          <w:sz w:val="21"/>
          <w:szCs w:val="21"/>
        </w:rPr>
        <w:t xml:space="preserve">Subscription is the issue of </w:t>
      </w:r>
      <w:r>
        <w:rPr>
          <w:rFonts w:ascii="Calibri" w:cs="Calibri" w:eastAsia="Calibri" w:hAnsi="Calibri"/>
          <w:b/>
          <w:bCs/>
          <w:i/>
          <w:iCs/>
          <w:color w:val="6E7480"/>
          <w:sz w:val="21"/>
          <w:szCs w:val="21"/>
        </w:rPr>
        <w:t xml:space="preserve">new</w:t>
      </w:r>
      <w:r>
        <w:rPr>
          <w:rFonts w:ascii="Calibri" w:cs="Calibri" w:eastAsia="Calibri" w:hAnsi="Calibri"/>
          <w:i/>
          <w:iCs/>
          <w:color w:val="6E7480"/>
          <w:sz w:val="21"/>
          <w:szCs w:val="21"/>
        </w:rPr>
        <w:t xml:space="preserve"> shares by the company; the money goes to the company. A share purchase is the sale of </w:t>
      </w:r>
      <w:r>
        <w:rPr>
          <w:rFonts w:ascii="Calibri" w:cs="Calibri" w:eastAsia="Calibri" w:hAnsi="Calibri"/>
          <w:b/>
          <w:bCs/>
          <w:i/>
          <w:iCs/>
          <w:color w:val="6E7480"/>
          <w:sz w:val="21"/>
          <w:szCs w:val="21"/>
        </w:rPr>
        <w:t xml:space="preserve">existing</w:t>
      </w:r>
      <w:r>
        <w:rPr>
          <w:rFonts w:ascii="Calibri" w:cs="Calibri" w:eastAsia="Calibri" w:hAnsi="Calibri"/>
          <w:i/>
          <w:iCs/>
          <w:color w:val="6E7480"/>
          <w:sz w:val="21"/>
          <w:szCs w:val="21"/>
        </w:rPr>
        <w:t xml:space="preserve"> shares; the money goes to the seller. They are different documents with different warranty positions and different tax and stamp duty consequences — a subscription attracts no stamp duty, a transfer does.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 (as warrantors)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Subscription amount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subscribed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b/>
                <w:bCs/>
                <w:sz w:val="19"/>
                <w:szCs w:val="19"/>
              </w:rPr>
              <w:t xml:space="preserve"> </w:t>
            </w:r>
            <w:r>
              <w:rPr>
                <w:rFonts w:ascii="Calibri" w:cs="Calibri" w:eastAsia="Calibri" w:hAnsi="Calibri"/>
                <w:b/>
                <w:bCs/>
                <w:sz w:val="19"/>
                <w:szCs w:val="19"/>
              </w:rPr>
              <w:t xml:space="preserve">[Series A Preference Shares]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 per share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Resulting stake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fully diluted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Warranty cap</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subscription amount / S$ ______]</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Warranty claim period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[18]</w:t>
            </w:r>
            <w:r>
              <w:rPr>
                <w:rFonts w:ascii="Calibri" w:cs="Calibri" w:eastAsia="Calibri" w:hAnsi="Calibri"/>
                <w:sz w:val="19"/>
                <w:szCs w:val="19"/>
              </w:rPr>
              <w:t xml:space="preserve"> months — </w:t>
            </w:r>
            <w:r>
              <w:rPr>
                <w:rFonts w:ascii="Calibri" w:cs="Calibri" w:eastAsia="Calibri" w:hAnsi="Calibri"/>
                <w:b/>
                <w:bCs/>
                <w:sz w:val="19"/>
                <w:szCs w:val="19"/>
              </w:rPr>
              <w:t xml:space="preserve">[7]</w:t>
            </w:r>
            <w:r>
              <w:rPr>
                <w:rFonts w:ascii="Calibri" w:cs="Calibri" w:eastAsia="Calibri" w:hAnsi="Calibri"/>
                <w:sz w:val="19"/>
                <w:szCs w:val="19"/>
              </w:rPr>
              <w:t xml:space="preserve"> years for tax and title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Stamp duty on subscription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applicable</w:t>
            </w:r>
            <w:r>
              <w:rPr>
                <w:rFonts w:ascii="Calibri" w:cs="Calibri" w:eastAsia="Calibri" w:hAnsi="Calibri"/>
                <w:sz w:val="19"/>
                <w:szCs w:val="19"/>
              </w:rPr>
              <w:t xml:space="preserve"> — no transfer of existing shares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SUBSCRIPTION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Investor shall subscribe for and the Company shall allot and issue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[Series A Preference Shares]</w:t>
      </w:r>
      <w:r>
        <w:rPr>
          <w:rFonts w:ascii="Calibri" w:cs="Calibri" w:eastAsia="Calibri" w:hAnsi="Calibri"/>
          <w:sz w:val="21"/>
          <w:szCs w:val="21"/>
        </w:rPr>
        <w:t xml:space="preserve"> at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share, for a total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Shares shall rank with the rights set out in the amended Constitution, and shall rank equally with existing shares of that class.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Shares are issued </w:t>
      </w:r>
      <w:r>
        <w:rPr>
          <w:rFonts w:ascii="Calibri" w:cs="Calibri" w:eastAsia="Calibri" w:hAnsi="Calibri"/>
          <w:b/>
          <w:bCs/>
          <w:sz w:val="21"/>
          <w:szCs w:val="21"/>
        </w:rPr>
        <w:t xml:space="preserve">free from encumbrances</w:t>
      </w:r>
      <w:r>
        <w:rPr>
          <w:rFonts w:ascii="Calibri" w:cs="Calibri" w:eastAsia="Calibri" w:hAnsi="Calibri"/>
          <w:sz w:val="21"/>
          <w:szCs w:val="21"/>
        </w:rPr>
        <w:t xml:space="preserve"> and with all rights attaching from the date of allotment.</w:t>
      </w:r>
    </w:p>
    <w:p>
      <w:pPr>
        <w:keepNext/>
        <w:spacing w:after="120" w:before="280"/>
        <w:outlineLvl w:val="0"/>
      </w:pPr>
      <w:r>
        <w:rPr>
          <w:rFonts w:ascii="Calibri" w:cs="Calibri" w:eastAsia="Calibri" w:hAnsi="Calibri"/>
          <w:b/>
          <w:bCs/>
          <w:color w:val="14161B"/>
          <w:sz w:val="22"/>
          <w:szCs w:val="22"/>
        </w:rPr>
        <w:t xml:space="preserve">2. CONDITIONS TO COMPLETION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Completion is conditional on each of the following, in form satisfactory to the Investor: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w:t>
      </w:r>
      <w:r>
        <w:rPr>
          <w:rFonts w:ascii="Calibri" w:cs="Calibri" w:eastAsia="Calibri" w:hAnsi="Calibri"/>
          <w:b/>
          <w:bCs/>
          <w:sz w:val="21"/>
          <w:szCs w:val="21"/>
        </w:rPr>
        <w:t xml:space="preserve">amended Constitution</w:t>
      </w:r>
      <w:r>
        <w:rPr>
          <w:rFonts w:ascii="Calibri" w:cs="Calibri" w:eastAsia="Calibri" w:hAnsi="Calibri"/>
          <w:sz w:val="21"/>
          <w:szCs w:val="21"/>
        </w:rPr>
        <w:t xml:space="preserve"> creating the rights attaching to the Shares having been adopted by special resolution and filed;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w:t>
      </w:r>
      <w:r>
        <w:rPr>
          <w:rFonts w:ascii="Calibri" w:cs="Calibri" w:eastAsia="Calibri" w:hAnsi="Calibri"/>
          <w:b/>
          <w:bCs/>
          <w:sz w:val="21"/>
          <w:szCs w:val="21"/>
        </w:rPr>
        <w:t xml:space="preserve">Shareholders’ Agreement</w:t>
      </w:r>
      <w:r>
        <w:rPr>
          <w:rFonts w:ascii="Calibri" w:cs="Calibri" w:eastAsia="Calibri" w:hAnsi="Calibri"/>
          <w:sz w:val="21"/>
          <w:szCs w:val="21"/>
        </w:rPr>
        <w:t xml:space="preserve"> executed by all parties;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board and shareholder resolutions approving the allotment, the constitutional amendment, and any board appointment;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pre-emption rights on new issues</w:t>
      </w:r>
      <w:r>
        <w:rPr>
          <w:rFonts w:ascii="Calibri" w:cs="Calibri" w:eastAsia="Calibri" w:hAnsi="Calibri"/>
          <w:sz w:val="21"/>
          <w:szCs w:val="21"/>
        </w:rPr>
        <w:t xml:space="preserve"> having been complied with or validly waived in writing;</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founder service agreements and vesting documents executed;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assignment of any founder intellectual property to the Company;</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disclosure letter delivered and accepted;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completion of due diligence to the Investor’s satisfaction;</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no material adverse change since </w:t>
      </w:r>
      <w:r>
        <w:rPr>
          <w:rFonts w:ascii="Calibri" w:cs="Calibri" w:eastAsia="Calibri" w:hAnsi="Calibri"/>
          <w:b/>
          <w:bCs/>
          <w:sz w:val="21"/>
          <w:szCs w:val="21"/>
        </w:rPr>
        <w:t xml:space="preserve">[DATE]</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b/>
          <w:bCs/>
          <w:sz w:val="21"/>
          <w:szCs w:val="21"/>
        </w:rPr>
        <w:t xml:space="preserve">[any regulatory or third party consent required]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If the conditions are not satisfied or waived by </w:t>
      </w:r>
      <w:r>
        <w:rPr>
          <w:rFonts w:ascii="Calibri" w:cs="Calibri" w:eastAsia="Calibri" w:hAnsi="Calibri"/>
          <w:b/>
          <w:bCs/>
          <w:sz w:val="21"/>
          <w:szCs w:val="21"/>
        </w:rPr>
        <w:t xml:space="preserve">[DATE]</w:t>
      </w:r>
      <w:r>
        <w:rPr>
          <w:rFonts w:ascii="Calibri" w:cs="Calibri" w:eastAsia="Calibri" w:hAnsi="Calibri"/>
          <w:sz w:val="21"/>
          <w:szCs w:val="21"/>
        </w:rPr>
        <w:t xml:space="preserve">, either party may terminate without liability, save for accrued breaches and the surviving provisions.</w:t>
      </w:r>
    </w:p>
    <w:p>
      <w:pPr>
        <w:keepNext/>
        <w:spacing w:after="120" w:before="280"/>
        <w:outlineLvl w:val="0"/>
      </w:pPr>
      <w:r>
        <w:rPr>
          <w:rFonts w:ascii="Calibri" w:cs="Calibri" w:eastAsia="Calibri" w:hAnsi="Calibri"/>
          <w:b/>
          <w:bCs/>
          <w:color w:val="14161B"/>
          <w:sz w:val="22"/>
          <w:szCs w:val="22"/>
        </w:rPr>
        <w:t xml:space="preserve">3. COMPLETION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782"/>
        <w:gridCol w:w="1734"/>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Party</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 transfers the subscription amount to the Company’s account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 allotting the Shares passed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 entered in the register of members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Return of allotment lodged with the Registrar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14 days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certificate issued to the Investor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 Director appointed and filed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registrable controllers reviewed and updated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register filing made where control has changed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table updated and reconciled to the Registrar’s register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registers and minute book updated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40"/>
      </w:pPr>
    </w:p>
    <w:p>
      <w:pPr>
        <w:keepNext/>
        <w:spacing w:after="120" w:before="280"/>
        <w:outlineLvl w:val="0"/>
      </w:pPr>
      <w:r>
        <w:rPr>
          <w:rFonts w:ascii="Calibri" w:cs="Calibri" w:eastAsia="Calibri" w:hAnsi="Calibri"/>
          <w:b/>
          <w:bCs/>
          <w:color w:val="14161B"/>
          <w:sz w:val="22"/>
          <w:szCs w:val="22"/>
        </w:rPr>
        <w:t xml:space="preserve">4. WARRANTIES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w:t>
      </w:r>
      <w:r>
        <w:rPr>
          <w:rFonts w:ascii="Calibri" w:cs="Calibri" w:eastAsia="Calibri" w:hAnsi="Calibri"/>
          <w:b/>
          <w:bCs/>
          <w:sz w:val="21"/>
          <w:szCs w:val="21"/>
        </w:rPr>
        <w:t xml:space="preserve">[and each Founder]</w:t>
      </w:r>
      <w:r>
        <w:rPr>
          <w:rFonts w:ascii="Calibri" w:cs="Calibri" w:eastAsia="Calibri" w:hAnsi="Calibri"/>
          <w:sz w:val="21"/>
          <w:szCs w:val="21"/>
        </w:rPr>
        <w:t xml:space="preserve"> warrants to the Investor in the terms of Schedule 1, as at the date of this agreement and at Completion.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Each warranty is separate and is not limited by any other.</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warranties are given </w:t>
      </w:r>
      <w:r>
        <w:rPr>
          <w:rFonts w:ascii="Calibri" w:cs="Calibri" w:eastAsia="Calibri" w:hAnsi="Calibri"/>
          <w:b/>
          <w:bCs/>
          <w:sz w:val="21"/>
          <w:szCs w:val="21"/>
        </w:rPr>
        <w:t xml:space="preserve">subject to the matters fairly disclosed</w:t>
      </w:r>
      <w:r>
        <w:rPr>
          <w:rFonts w:ascii="Calibri" w:cs="Calibri" w:eastAsia="Calibri" w:hAnsi="Calibri"/>
          <w:sz w:val="21"/>
          <w:szCs w:val="21"/>
        </w:rPr>
        <w:t xml:space="preserve"> in the disclosure letter. A matter is fairly disclosed only where the disclosure gives sufficient detail to enable the Investor to assess its nature and effect.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"Fairly disclosed" is doing real work. A disclosure letter listing document titles without explaining the issue does not qualify, and the point is worth arguing over — it determines whether the warranty was effectively given at all.</w:t>
      </w:r>
    </w:p>
    <w:p>
      <w:pPr>
        <w:keepNext/>
        <w:spacing w:after="120" w:before="280"/>
        <w:outlineLvl w:val="0"/>
      </w:pPr>
      <w:r>
        <w:rPr>
          <w:rFonts w:ascii="Calibri" w:cs="Calibri" w:eastAsia="Calibri" w:hAnsi="Calibri"/>
          <w:b/>
          <w:bCs/>
          <w:color w:val="14161B"/>
          <w:sz w:val="22"/>
          <w:szCs w:val="22"/>
        </w:rPr>
        <w:t xml:space="preserve">5. LIMITS ON LIABILITY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Limit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subscription amount]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Founders should push for a lower personal cap than the company’s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 limit — general warranties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[18]</w:t>
            </w:r>
            <w:r>
              <w:rPr>
                <w:rFonts w:ascii="Calibri" w:cs="Calibri" w:eastAsia="Calibri" w:hAnsi="Calibri"/>
                <w:sz w:val="17"/>
                <w:szCs w:val="17"/>
              </w:rPr>
              <w:t xml:space="preserve"> months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Should cover at least one audit cycle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 limit — tax and title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[7]</w:t>
            </w:r>
            <w:r>
              <w:rPr>
                <w:rFonts w:ascii="Calibri" w:cs="Calibri" w:eastAsia="Calibri" w:hAnsi="Calibri"/>
                <w:sz w:val="17"/>
                <w:szCs w:val="17"/>
              </w:rPr>
              <w:t xml:space="preserve"> years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Longer because the exposure surfaces later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 minimis per claim</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Below this, no claim</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Aggregate threshold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Claims must total this before any is payable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 liability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[Several, not joint — each capped at their own consideration]</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Critical</w:t>
            </w:r>
            <w:r>
              <w:rPr>
                <w:rFonts w:ascii="Calibri" w:cs="Calibri" w:eastAsia="Calibri" w:hAnsi="Calibri"/>
                <w:sz w:val="17"/>
                <w:szCs w:val="17"/>
              </w:rPr>
              <w:t xml:space="preserve"> — joint liability exposes one founder to the whole claim</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double recovery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One loss, one recovery</w:t>
            </w:r>
          </w:p>
        </w:tc>
        <w:tc>
          <w:tcPr>
            <w:tcW w:type="dxa" w:w="4049"/>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Duty to mitigate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Applies</w:t>
            </w:r>
          </w:p>
        </w:tc>
        <w:tc>
          <w:tcPr>
            <w:tcW w:type="dxa" w:w="4049"/>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Insurance and third party recovery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Deducted from any claim</w:t>
            </w:r>
          </w:p>
        </w:tc>
        <w:tc>
          <w:tcPr>
            <w:tcW w:type="dxa" w:w="4049"/>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Fraud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 limit applies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and non-negotiable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Founders giving personal warranties should insist on </w:t>
      </w:r>
      <w:r>
        <w:rPr>
          <w:rFonts w:ascii="Calibri" w:cs="Calibri" w:eastAsia="Calibri" w:hAnsi="Calibri"/>
          <w:i/>
          <w:iCs/>
          <w:sz w:val="21"/>
          <w:szCs w:val="21"/>
        </w:rPr>
        <w:t xml:space="preserve">several</w:t>
      </w:r>
      <w:r>
        <w:rPr>
          <w:rFonts w:ascii="Calibri" w:cs="Calibri" w:eastAsia="Calibri" w:hAnsi="Calibri"/>
          <w:i/>
          <w:iCs/>
          <w:sz w:val="21"/>
          <w:szCs w:val="21"/>
        </w:rPr>
        <w:t xml:space="preserve"> liability capped at what each actually received. Joint and several liability means one founder can be pursued for the entire claim and left to recover from the others.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USE OF PROCEEDS AND UNDERTAKINGS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shall apply the subscription amount substantially in accordance with the budget in Schedule 2, and shall not apply it to repay founder or shareholder loans without consent.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Company shall comply with the Shareholders’ Agreement, maintain proper accounting records, and keep the statutory registers current.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shall not, before Completion, issue shares, declare dividends, dispose of material assets, or enter into any material contract outside the ordinary course.</w:t>
      </w:r>
    </w:p>
    <w:p>
      <w:pPr>
        <w:keepNext/>
        <w:spacing w:after="120" w:before="280"/>
        <w:outlineLvl w:val="0"/>
      </w:pPr>
      <w:r>
        <w:rPr>
          <w:rFonts w:ascii="Calibri" w:cs="Calibri" w:eastAsia="Calibri" w:hAnsi="Calibri"/>
          <w:b/>
          <w:bCs/>
          <w:color w:val="14161B"/>
          <w:sz w:val="22"/>
          <w:szCs w:val="22"/>
        </w:rPr>
        <w:t xml:space="preserve">7. GENERAL</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party bears its own costs, </w:t>
      </w:r>
      <w:r>
        <w:rPr>
          <w:rFonts w:ascii="Calibri" w:cs="Calibri" w:eastAsia="Calibri" w:hAnsi="Calibri"/>
          <w:b/>
          <w:bCs/>
          <w:sz w:val="21"/>
          <w:szCs w:val="21"/>
        </w:rPr>
        <w:t xml:space="preserve">[save that the Company shall pay the Investor’s reasonable legal costs up to S$ ______ on Completion]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Announcements require the consent of both parties, save as required by law.</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This agreement, the Shareholders’ Agreement and the Constitution constitute the entire agreement.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Warranties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542"/>
        <w:gridCol w:w="6553"/>
        <w:gridCol w:w="115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Category</w:t>
            </w:r>
          </w:p>
        </w:tc>
        <w:tc>
          <w:tcPr>
            <w:tcW w:type="dxa" w:w="65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Warranty</w:t>
            </w:r>
          </w:p>
        </w:tc>
        <w:tc>
          <w:tcPr>
            <w:tcW w:type="dxa" w:w="11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Disclosed?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Capacity</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Company is duly incorporated, has power to enter into this agreement, and has obtained all approvals</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 capital</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cap table in Schedule 3 is accurate and complete; no person has a right to acquire shares other than as disclosed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Registers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statutory registers are accurate and all filings have been made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4</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Constitution</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Constitution as filed is the current one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5</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Accounts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financial statements give a true and fair view and were prepared on a consistent basis</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6</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Management accounts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Prepared with reasonable care; not misleading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7</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Liabilities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liabilities other than those disclosed or in the ordinary course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8</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Assets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Company owns its assets free from encumbrances save as disclosed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9</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Intellectual property</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Company owns or is licensed to use all IP used in the business; no infringement; </w:t>
            </w:r>
            <w:r>
              <w:rPr>
                <w:rFonts w:ascii="Calibri" w:cs="Calibri" w:eastAsia="Calibri" w:hAnsi="Calibri"/>
                <w:b/>
                <w:bCs/>
                <w:sz w:val="15"/>
                <w:szCs w:val="15"/>
              </w:rPr>
              <w:t xml:space="preserve">all founder and contractor IP has been assigned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10</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Open source</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open source used under a licence requiring disclosure of the Company’s source code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Contracts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material contract is in default or terminable on a change of control save as disclosed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Customers and suppliers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material customer or supplier has given notice to terminate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Employment</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Written key employment terms issued to all employees; itemised payslips issued; CPF contributions paid in full and on time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14</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Work passes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foreign employees hold valid passes; no CPF contributions made for pass holders; levies paid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15</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Employment claims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current or threatened claim, grievance or Tribunal proceeding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16</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Tax</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returns filed and taxes paid; no dispute with the tax authority; GST correctly accounted for</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17</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Data protection</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 Data Protection Officer is appointed and published; no notifiable data breach has occurred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18</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Compliance</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Company holds all licences required and is not in breach of applicable law</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19</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Litigation</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litigation, arbitration or investigation is current or threatened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20</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Insurance</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insurances required are in force, including work injury compensation</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Related parties</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No transaction with a director or connected person save as disclosed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Solvency</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The Company is able to pay its debts as they fall due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Information</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information provided in due diligence is true and not misleading, and nothing material has been withheld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Subscription and purchase are different documents</w:t>
      </w:r>
    </w:p>
    <w:p>
      <w:pPr>
        <w:spacing w:after="60" w:line="264"/>
        <w:jc w:val="both"/>
      </w:pPr>
      <w:r>
        <w:rPr>
          <w:rFonts w:ascii="Calibri" w:cs="Calibri" w:eastAsia="Calibri" w:hAnsi="Calibri"/>
          <w:sz w:val="19"/>
          <w:szCs w:val="19"/>
        </w:rPr>
        <w:t xml:space="preserve">A subscription issues new shares and the money goes to the company; a purchase transfers existing shares and the money goes to the seller. The warranty positions differ, and so do the tax consequences — no stamp duty arises on a subscription, whereas a transfer of existing shares does attract duty. Using the wrong document creates real problems.</w:t>
      </w:r>
    </w:p>
    <w:p>
      <w:pPr>
        <w:keepNext/>
        <w:spacing w:after="40" w:before="140"/>
      </w:pPr>
      <w:r>
        <w:rPr>
          <w:rFonts w:ascii="Calibri" w:cs="Calibri" w:eastAsia="Calibri" w:hAnsi="Calibri"/>
          <w:b/>
          <w:bCs/>
          <w:color w:val="14161B"/>
          <w:sz w:val="20"/>
          <w:szCs w:val="20"/>
        </w:rPr>
        <w:t xml:space="preserve">Fair disclosure is the battleground</w:t>
      </w:r>
    </w:p>
    <w:p>
      <w:pPr>
        <w:spacing w:after="60" w:line="264"/>
        <w:jc w:val="both"/>
      </w:pPr>
      <w:r>
        <w:rPr>
          <w:rFonts w:ascii="Calibri" w:cs="Calibri" w:eastAsia="Calibri" w:hAnsi="Calibri"/>
          <w:sz w:val="19"/>
          <w:szCs w:val="19"/>
        </w:rPr>
        <w:t xml:space="preserve">The warranties are given subject to what is fairly disclosed. A disclosure letter that lists document titles, or attaches a data room index, does not fairly disclose anything — it must give enough detail to let the investor assess the issue. Founders benefit from disclosing generously; investors benefit from insisting on specificity.</w:t>
      </w:r>
    </w:p>
    <w:p>
      <w:pPr>
        <w:keepNext/>
        <w:spacing w:after="40" w:before="140"/>
      </w:pPr>
      <w:r>
        <w:rPr>
          <w:rFonts w:ascii="Calibri" w:cs="Calibri" w:eastAsia="Calibri" w:hAnsi="Calibri"/>
          <w:b/>
          <w:bCs/>
          <w:color w:val="14161B"/>
          <w:sz w:val="20"/>
          <w:szCs w:val="20"/>
        </w:rPr>
        <w:t xml:space="preserve">Founders should give several, not joint, liability</w:t>
      </w:r>
    </w:p>
    <w:p>
      <w:pPr>
        <w:spacing w:after="60" w:line="264"/>
        <w:jc w:val="both"/>
      </w:pPr>
      <w:r>
        <w:rPr>
          <w:rFonts w:ascii="Calibri" w:cs="Calibri" w:eastAsia="Calibri" w:hAnsi="Calibri"/>
          <w:sz w:val="19"/>
          <w:szCs w:val="19"/>
        </w:rPr>
        <w:t xml:space="preserve">Joint and several liability means one founder can be pursued for the entire warranty claim and left to chase the others for contribution. Several liability, each capped at what that founder actually received, is the position to insist on. This is among the most important negotiating points for founders in the whole document.</w:t>
      </w:r>
    </w:p>
    <w:p>
      <w:pPr>
        <w:keepNext/>
        <w:spacing w:after="40" w:before="140"/>
      </w:pPr>
      <w:r>
        <w:rPr>
          <w:rFonts w:ascii="Calibri" w:cs="Calibri" w:eastAsia="Calibri" w:hAnsi="Calibri"/>
          <w:b/>
          <w:bCs/>
          <w:color w:val="14161B"/>
          <w:sz w:val="20"/>
          <w:szCs w:val="20"/>
        </w:rPr>
        <w:t xml:space="preserve">Cap the warranties sensibly</w:t>
      </w:r>
    </w:p>
    <w:p>
      <w:pPr>
        <w:spacing w:after="60" w:line="264"/>
        <w:jc w:val="both"/>
      </w:pPr>
      <w:r>
        <w:rPr>
          <w:rFonts w:ascii="Calibri" w:cs="Calibri" w:eastAsia="Calibri" w:hAnsi="Calibri"/>
          <w:sz w:val="19"/>
          <w:szCs w:val="19"/>
        </w:rPr>
        <w:t xml:space="preserve">A cap at the subscription amount is common for the company. Founders giving personal warranties should push for a materially lower personal cap — they have not received the investment, and personal exposure at the full round size is disproportionate.</w:t>
      </w:r>
    </w:p>
    <w:p>
      <w:pPr>
        <w:keepNext/>
        <w:spacing w:after="40" w:before="140"/>
      </w:pPr>
      <w:r>
        <w:rPr>
          <w:rFonts w:ascii="Calibri" w:cs="Calibri" w:eastAsia="Calibri" w:hAnsi="Calibri"/>
          <w:b/>
          <w:bCs/>
          <w:color w:val="14161B"/>
          <w:sz w:val="20"/>
          <w:szCs w:val="20"/>
        </w:rPr>
        <w:t xml:space="preserve">Time limits should cover an audit cycle</w:t>
      </w:r>
    </w:p>
    <w:p>
      <w:pPr>
        <w:spacing w:after="60" w:line="264"/>
        <w:jc w:val="both"/>
      </w:pPr>
      <w:r>
        <w:rPr>
          <w:rFonts w:ascii="Calibri" w:cs="Calibri" w:eastAsia="Calibri" w:hAnsi="Calibri"/>
          <w:sz w:val="19"/>
          <w:szCs w:val="19"/>
        </w:rPr>
        <w:t xml:space="preserve">General warranties expiring in twelve months may lapse before the first audited accounts reveal a problem. Eighteen to twenty-four months is more realistic. Tax and title warranties run longer because the exposure surfaces later.</w:t>
      </w:r>
    </w:p>
    <w:p>
      <w:pPr>
        <w:keepNext/>
        <w:spacing w:after="40" w:before="140"/>
      </w:pPr>
      <w:r>
        <w:rPr>
          <w:rFonts w:ascii="Calibri" w:cs="Calibri" w:eastAsia="Calibri" w:hAnsi="Calibri"/>
          <w:b/>
          <w:bCs/>
          <w:color w:val="14161B"/>
          <w:sz w:val="20"/>
          <w:szCs w:val="20"/>
        </w:rPr>
        <w:t xml:space="preserve">Check the IP warranty carefully</w:t>
      </w:r>
    </w:p>
    <w:p>
      <w:pPr>
        <w:spacing w:after="60" w:line="264"/>
        <w:jc w:val="both"/>
      </w:pPr>
      <w:r>
        <w:rPr>
          <w:rFonts w:ascii="Calibri" w:cs="Calibri" w:eastAsia="Calibri" w:hAnsi="Calibri"/>
          <w:sz w:val="19"/>
          <w:szCs w:val="19"/>
        </w:rPr>
        <w:t xml:space="preserve">Warranty 9 covers assignment of founder and contractor intellectual property. Code written by a founder before incorporation, or by a contractor without an assignment clause, belongs to them personally. This is the single most common defect found in early-stage diligence and it can be genuinely serious.</w:t>
      </w:r>
    </w:p>
    <w:p>
      <w:pPr>
        <w:keepNext/>
        <w:spacing w:after="40" w:before="140"/>
      </w:pPr>
      <w:r>
        <w:rPr>
          <w:rFonts w:ascii="Calibri" w:cs="Calibri" w:eastAsia="Calibri" w:hAnsi="Calibri"/>
          <w:b/>
          <w:bCs/>
          <w:color w:val="14161B"/>
          <w:sz w:val="20"/>
          <w:szCs w:val="20"/>
        </w:rPr>
        <w:t xml:space="preserve">Open source deserves its own warranty</w:t>
      </w:r>
    </w:p>
    <w:p>
      <w:pPr>
        <w:spacing w:after="60" w:line="264"/>
        <w:jc w:val="both"/>
      </w:pPr>
      <w:r>
        <w:rPr>
          <w:rFonts w:ascii="Calibri" w:cs="Calibri" w:eastAsia="Calibri" w:hAnsi="Calibri"/>
          <w:sz w:val="19"/>
          <w:szCs w:val="19"/>
        </w:rPr>
        <w:t xml:space="preserve">Warranty 10 exists because copyleft licences can require disclosure of the company’s own source code. An investor buying into a software business needs to know what is in the stack, and founders frequently do not know either until asked.</w:t>
      </w:r>
    </w:p>
    <w:p>
      <w:pPr>
        <w:keepNext/>
        <w:spacing w:after="40" w:before="140"/>
      </w:pPr>
      <w:r>
        <w:rPr>
          <w:rFonts w:ascii="Calibri" w:cs="Calibri" w:eastAsia="Calibri" w:hAnsi="Calibri"/>
          <w:b/>
          <w:bCs/>
          <w:color w:val="14161B"/>
          <w:sz w:val="20"/>
          <w:szCs w:val="20"/>
        </w:rPr>
        <w:t xml:space="preserve">The employment warranties are Singapore-specific</w:t>
      </w:r>
    </w:p>
    <w:p>
      <w:pPr>
        <w:spacing w:after="60" w:line="264"/>
        <w:jc w:val="both"/>
      </w:pPr>
      <w:r>
        <w:rPr>
          <w:rFonts w:ascii="Calibri" w:cs="Calibri" w:eastAsia="Calibri" w:hAnsi="Calibri"/>
          <w:sz w:val="19"/>
          <w:szCs w:val="19"/>
        </w:rPr>
        <w:t xml:space="preserve">Written key employment terms within fourteen days, itemised payslips, CPF paid on time, no CPF for pass holders, valid work passes and levies paid. These are the compliance gaps most commonly found in growing Singapore companies, and warranties 13 to 15 surface them before completion rather than after.</w:t>
      </w:r>
    </w:p>
    <w:p>
      <w:pPr>
        <w:keepNext/>
        <w:spacing w:after="40" w:before="140"/>
      </w:pPr>
      <w:r>
        <w:rPr>
          <w:rFonts w:ascii="Calibri" w:cs="Calibri" w:eastAsia="Calibri" w:hAnsi="Calibri"/>
          <w:b/>
          <w:bCs/>
          <w:color w:val="14161B"/>
          <w:sz w:val="20"/>
          <w:szCs w:val="20"/>
        </w:rPr>
        <w:t xml:space="preserve">Verify pre-emption compliance before completion</w:t>
      </w:r>
    </w:p>
    <w:p>
      <w:pPr>
        <w:spacing w:after="60" w:line="264"/>
        <w:jc w:val="both"/>
      </w:pPr>
      <w:r>
        <w:rPr>
          <w:rFonts w:ascii="Calibri" w:cs="Calibri" w:eastAsia="Calibri" w:hAnsi="Calibri"/>
          <w:sz w:val="19"/>
          <w:szCs w:val="19"/>
        </w:rPr>
        <w:t xml:space="preserve">Condition 2.1(d) requires pre-emption on new issues to have been complied with or waived in writing. An allotment made in breach of existing shareholders’ pre-emption rights is a defect that follows the company into every subsequent round.</w:t>
      </w:r>
    </w:p>
    <w:p>
      <w:pPr>
        <w:keepNext/>
        <w:spacing w:after="40" w:before="140"/>
      </w:pPr>
      <w:r>
        <w:rPr>
          <w:rFonts w:ascii="Calibri" w:cs="Calibri" w:eastAsia="Calibri" w:hAnsi="Calibri"/>
          <w:b/>
          <w:bCs/>
          <w:color w:val="14161B"/>
          <w:sz w:val="20"/>
          <w:szCs w:val="20"/>
        </w:rPr>
        <w:t xml:space="preserve">The constitution must be amended first</w:t>
      </w:r>
    </w:p>
    <w:p>
      <w:pPr>
        <w:spacing w:after="60" w:line="264"/>
        <w:jc w:val="both"/>
      </w:pPr>
      <w:r>
        <w:rPr>
          <w:rFonts w:ascii="Calibri" w:cs="Calibri" w:eastAsia="Calibri" w:hAnsi="Calibri"/>
          <w:sz w:val="19"/>
          <w:szCs w:val="19"/>
        </w:rPr>
        <w:t xml:space="preserve">Preference rights must exist in the constitution before the shares are issued. Issuing Series A Preference Shares where the constitution recognises only ordinary shares creates an inconsistency that is awkward and expensive to fix later. Condition 2.1(a) sequences it correctly.</w:t>
      </w:r>
    </w:p>
    <w:p>
      <w:pPr>
        <w:keepNext/>
        <w:spacing w:after="40" w:before="140"/>
      </w:pPr>
      <w:r>
        <w:rPr>
          <w:rFonts w:ascii="Calibri" w:cs="Calibri" w:eastAsia="Calibri" w:hAnsi="Calibri"/>
          <w:b/>
          <w:bCs/>
          <w:color w:val="14161B"/>
          <w:sz w:val="20"/>
          <w:szCs w:val="20"/>
        </w:rPr>
        <w:t xml:space="preserve">Return of allotment within fourteen days</w:t>
      </w:r>
    </w:p>
    <w:p>
      <w:pPr>
        <w:spacing w:after="60" w:line="264"/>
        <w:jc w:val="both"/>
      </w:pPr>
      <w:r>
        <w:rPr>
          <w:rFonts w:ascii="Calibri" w:cs="Calibri" w:eastAsia="Calibri" w:hAnsi="Calibri"/>
          <w:sz w:val="19"/>
          <w:szCs w:val="19"/>
        </w:rPr>
        <w:t xml:space="preserve">The completion checklist puts this at step 4 for a reason. Because the register of members maintained by the Registrar is prima facie evidence of title for a private company, an allotment not filed leaves the investor off the register that determines ownership.</w:t>
      </w:r>
    </w:p>
    <w:p>
      <w:pPr>
        <w:keepNext/>
        <w:spacing w:after="40" w:before="140"/>
      </w:pPr>
      <w:r>
        <w:rPr>
          <w:rFonts w:ascii="Calibri" w:cs="Calibri" w:eastAsia="Calibri" w:hAnsi="Calibri"/>
          <w:b/>
          <w:bCs/>
          <w:color w:val="14161B"/>
          <w:sz w:val="20"/>
          <w:szCs w:val="20"/>
        </w:rPr>
        <w:t xml:space="preserve">Review the controllers register at completion</w:t>
      </w:r>
    </w:p>
    <w:p>
      <w:pPr>
        <w:spacing w:after="60" w:line="264"/>
        <w:jc w:val="both"/>
      </w:pPr>
      <w:r>
        <w:rPr>
          <w:rFonts w:ascii="Calibri" w:cs="Calibri" w:eastAsia="Calibri" w:hAnsi="Calibri"/>
          <w:sz w:val="19"/>
          <w:szCs w:val="19"/>
        </w:rPr>
        <w:t xml:space="preserve">An investor crossing the significant-interest threshold becomes a registrable controller, with an entry and a central filing obligation. Steps 7 and 8 make it part of completion rather than something remembered months later.</w:t>
      </w:r>
    </w:p>
    <w:p>
      <w:pPr>
        <w:keepNext/>
        <w:spacing w:after="40" w:before="140"/>
      </w:pPr>
      <w:r>
        <w:rPr>
          <w:rFonts w:ascii="Calibri" w:cs="Calibri" w:eastAsia="Calibri" w:hAnsi="Calibri"/>
          <w:b/>
          <w:bCs/>
          <w:color w:val="14161B"/>
          <w:sz w:val="20"/>
          <w:szCs w:val="20"/>
        </w:rPr>
        <w:t xml:space="preserve">Use of proceeds and founder loans</w:t>
      </w:r>
    </w:p>
    <w:p>
      <w:pPr>
        <w:spacing w:after="60" w:line="264"/>
        <w:jc w:val="both"/>
      </w:pPr>
      <w:r>
        <w:rPr>
          <w:rFonts w:ascii="Calibri" w:cs="Calibri" w:eastAsia="Calibri" w:hAnsi="Calibri"/>
          <w:sz w:val="19"/>
          <w:szCs w:val="19"/>
        </w:rPr>
        <w:t xml:space="preserve">Clause 6.1 prevents the investment being applied to repay founder or shareholder loans. Investors care about this; founders who have funded the company personally should raise any intended repayment openly during negotiation rather than after closing.</w:t>
      </w:r>
    </w:p>
    <w:p>
      <w:pPr>
        <w:keepNext/>
        <w:spacing w:after="40" w:before="140"/>
      </w:pPr>
      <w:r>
        <w:rPr>
          <w:rFonts w:ascii="Calibri" w:cs="Calibri" w:eastAsia="Calibri" w:hAnsi="Calibri"/>
          <w:b/>
          <w:bCs/>
          <w:color w:val="14161B"/>
          <w:sz w:val="20"/>
          <w:szCs w:val="20"/>
        </w:rPr>
        <w:t xml:space="preserve">Cap the investor cost undertaking</w:t>
      </w:r>
    </w:p>
    <w:p>
      <w:pPr>
        <w:spacing w:after="60" w:line="264"/>
        <w:jc w:val="both"/>
      </w:pPr>
      <w:r>
        <w:rPr>
          <w:rFonts w:ascii="Calibri" w:cs="Calibri" w:eastAsia="Calibri" w:hAnsi="Calibri"/>
          <w:sz w:val="19"/>
          <w:szCs w:val="19"/>
        </w:rPr>
        <w:t xml:space="preserve">Paying the investor’s legal costs is normal. It should be capped, and payable only on completion — an uncapped undertaking payable regardless of outcome means a collapsed round still costs the company real money.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publishes a model subscription agreement, market terms move, and requirements under the Companies Act 1967 including allotment filings, controller registers and stamp duty change — take legal advice before signing, and have the disclosure letter prepared carefully.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2026-08-22T06:55:31.519Z</dcterms:created>
  <dcterms:modified xsi:type="dcterms:W3CDTF">2026-08-22T06:55:31.519Z</dcterms:modified>
</cp:coreProperties>
</file>

<file path=docProps/custom.xml><?xml version="1.0" encoding="utf-8"?>
<Properties xmlns="http://schemas.openxmlformats.org/officeDocument/2006/custom-properties" xmlns:vt="http://schemas.openxmlformats.org/officeDocument/2006/docPropsVTypes"/>
</file>