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 PURCHASE AGREEMENT</w:t>
      </w:r>
    </w:p>
    <w:p>
      <w:pPr>
        <w:spacing w:after="260"/>
        <w:jc w:val="center"/>
      </w:pPr>
      <w:r>
        <w:rPr>
          <w:rFonts w:ascii="Calibri" w:cs="Calibri" w:eastAsia="Calibri" w:hAnsi="Calibri"/>
          <w:i/>
          <w:iCs/>
          <w:color w:val="6E7480"/>
          <w:sz w:val="19"/>
          <w:szCs w:val="19"/>
        </w:rPr>
        <w:t xml:space="preserve">Transfer of existing shares</w:t>
      </w:r>
    </w:p>
    <w:p>
      <w:pPr>
        <w:spacing w:after="180" w:before="0" w:line="276"/>
        <w:jc w:val="both"/>
      </w:pPr>
      <w:r>
        <w:rPr>
          <w:rFonts w:ascii="Calibri" w:cs="Calibri" w:eastAsia="Calibri" w:hAnsi="Calibri"/>
          <w:i/>
          <w:iCs/>
          <w:color w:val="6E7480"/>
          <w:sz w:val="21"/>
          <w:szCs w:val="21"/>
        </w:rPr>
        <w:t xml:space="preserve">Unlike a subscription, a transfer of existing shares attracts </w:t>
      </w:r>
      <w:r>
        <w:rPr>
          <w:rFonts w:ascii="Calibri" w:cs="Calibri" w:eastAsia="Calibri" w:hAnsi="Calibri"/>
          <w:b/>
          <w:bCs/>
          <w:i/>
          <w:iCs/>
          <w:color w:val="6E7480"/>
          <w:sz w:val="21"/>
          <w:szCs w:val="21"/>
        </w:rPr>
        <w:t xml:space="preserve">stamp duty</w:t>
      </w:r>
      <w:r>
        <w:rPr>
          <w:rFonts w:ascii="Calibri" w:cs="Calibri" w:eastAsia="Calibri" w:hAnsi="Calibri"/>
          <w:i/>
          <w:iCs/>
          <w:color w:val="6E7480"/>
          <w:sz w:val="21"/>
          <w:szCs w:val="21"/>
        </w:rPr>
        <w:t xml:space="preserve">, payable on the instrument of transfer within the prescribed period. An unstamped transfer is inadmissible in evidence, and late stamping attracts penalties. Build stamping into completion, not into the follow-up 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sold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b/>
                <w:bCs/>
                <w:sz w:val="19"/>
                <w:szCs w:val="19"/>
              </w:rPr>
              <w:t xml:space="preserve"> </w:t>
            </w:r>
            <w:r>
              <w:rPr>
                <w:rFonts w:ascii="Calibri" w:cs="Calibri" w:eastAsia="Calibri" w:hAnsi="Calibri"/>
                <w:b/>
                <w:bCs/>
                <w:sz w:val="19"/>
                <w:szCs w:val="19"/>
              </w:rPr>
              <w:t xml:space="preserve">[ordinary]</w:t>
            </w:r>
            <w:r>
              <w:rPr>
                <w:rFonts w:ascii="Calibri" w:cs="Calibri" w:eastAsia="Calibri" w:hAnsi="Calibri"/>
                <w:b/>
                <w:bCs/>
                <w:sz w:val="19"/>
                <w:szCs w:val="19"/>
              </w:rPr>
              <w:t xml:space="preserve"> shares</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Price per share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consideration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[Secondary sale by a founder or early investor / Acquisition of the whole company]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Completion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Stamp duty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Payable by </w:t>
            </w:r>
            <w:r>
              <w:rPr>
                <w:rFonts w:ascii="Calibri" w:cs="Calibri" w:eastAsia="Calibri" w:hAnsi="Calibri"/>
                <w:b/>
                <w:bCs/>
                <w:sz w:val="19"/>
                <w:szCs w:val="19"/>
              </w:rPr>
              <w:t xml:space="preserve">[the Buyer]</w:t>
            </w:r>
            <w:r>
              <w:rPr>
                <w:rFonts w:ascii="Calibri" w:cs="Calibri" w:eastAsia="Calibri" w:hAnsi="Calibri"/>
                <w:b/>
                <w:bCs/>
                <w:sz w:val="19"/>
                <w:szCs w:val="19"/>
              </w:rPr>
              <w:t xml:space="preserve">, within the prescribed period from execution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Warranty cap</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consideration received by the Seller]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SALE AND PURCHASE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Seller shall sell and the Buyer shall purchase </w:t>
      </w:r>
      <w:r>
        <w:rPr>
          <w:rFonts w:ascii="Calibri" w:cs="Calibri" w:eastAsia="Calibri" w:hAnsi="Calibri"/>
          <w:b/>
          <w:bCs/>
          <w:sz w:val="21"/>
          <w:szCs w:val="21"/>
        </w:rPr>
        <w:t xml:space="preserve">[NUMBER]</w:t>
      </w:r>
      <w:r>
        <w:rPr>
          <w:rFonts w:ascii="Calibri" w:cs="Calibri" w:eastAsia="Calibri" w:hAnsi="Calibri"/>
          <w:sz w:val="21"/>
          <w:szCs w:val="21"/>
        </w:rPr>
        <w:t xml:space="preserve"> shares (the "</w:t>
      </w:r>
      <w:r>
        <w:rPr>
          <w:rFonts w:ascii="Calibri" w:cs="Calibri" w:eastAsia="Calibri" w:hAnsi="Calibri"/>
          <w:b/>
          <w:bCs/>
          <w:sz w:val="21"/>
          <w:szCs w:val="21"/>
        </w:rPr>
        <w:t xml:space="preserve">Sale Shares</w:t>
      </w:r>
      <w:r>
        <w:rPr>
          <w:rFonts w:ascii="Calibri" w:cs="Calibri" w:eastAsia="Calibri" w:hAnsi="Calibri"/>
          <w:sz w:val="21"/>
          <w:szCs w:val="21"/>
        </w:rPr>
        <w:t xml:space="preserve">") free from all encumbrances and with all rights attaching from Completion.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consideration is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payable </w:t>
      </w:r>
      <w:r>
        <w:rPr>
          <w:rFonts w:ascii="Calibri" w:cs="Calibri" w:eastAsia="Calibri" w:hAnsi="Calibri"/>
          <w:b/>
          <w:bCs/>
          <w:sz w:val="21"/>
          <w:szCs w:val="21"/>
        </w:rPr>
        <w:t xml:space="preserve">[in full at Completion / as set out in Clause 4]</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Seller waives any pre-emption right it holds in respect of the Sale Shares, and shall procure the waiver or exercise of any pre-emption right held by others.</w:t>
      </w:r>
    </w:p>
    <w:p>
      <w:pPr>
        <w:keepNext/>
        <w:spacing w:after="120" w:before="280"/>
        <w:outlineLvl w:val="0"/>
      </w:pPr>
      <w:r>
        <w:rPr>
          <w:rFonts w:ascii="Calibri" w:cs="Calibri" w:eastAsia="Calibri" w:hAnsi="Calibri"/>
          <w:b/>
          <w:bCs/>
          <w:color w:val="14161B"/>
          <w:sz w:val="22"/>
          <w:szCs w:val="22"/>
        </w:rPr>
        <w:t xml:space="preserve">2. CONDITIONS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Completion is conditional on: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pre-emption rights under the Constitution and the Shareholders’ Agreement</w:t>
      </w:r>
      <w:r>
        <w:rPr>
          <w:rFonts w:ascii="Calibri" w:cs="Calibri" w:eastAsia="Calibri" w:hAnsi="Calibri"/>
          <w:sz w:val="21"/>
          <w:szCs w:val="21"/>
        </w:rPr>
        <w:t xml:space="preserve"> having been complied with, waived, or exhausted;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Board approving the transfer and the registration of the Buyer;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consent required under the Shareholders’ Agreement having been obtained;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Buyer executing a </w:t>
      </w:r>
      <w:r>
        <w:rPr>
          <w:rFonts w:ascii="Calibri" w:cs="Calibri" w:eastAsia="Calibri" w:hAnsi="Calibri"/>
          <w:b/>
          <w:bCs/>
          <w:sz w:val="21"/>
          <w:szCs w:val="21"/>
        </w:rPr>
        <w:t xml:space="preserve">deed of adherence</w:t>
      </w:r>
      <w:r>
        <w:rPr>
          <w:rFonts w:ascii="Calibri" w:cs="Calibri" w:eastAsia="Calibri" w:hAnsi="Calibri"/>
          <w:sz w:val="21"/>
          <w:szCs w:val="21"/>
        </w:rPr>
        <w:t xml:space="preserve"> to the Shareholders’ Agreement;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[completion of due diligence to the Buyer’s satisfaction]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[any regulatory or third party consent]</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no material adverse change since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Pre-emption is the condition most often overlooked in a secondary sale. Where the constitution or shareholders’ agreement gives existing holders a first right of refusal, a transfer completed without offering it can be void or leave the buyer off the register.</w:t>
      </w:r>
    </w:p>
    <w:p>
      <w:pPr>
        <w:keepNext/>
        <w:spacing w:after="120" w:before="280"/>
        <w:outlineLvl w:val="0"/>
      </w:pPr>
      <w:r>
        <w:rPr>
          <w:rFonts w:ascii="Calibri" w:cs="Calibri" w:eastAsia="Calibri" w:hAnsi="Calibri"/>
          <w:b/>
          <w:bCs/>
          <w:color w:val="14161B"/>
          <w:sz w:val="22"/>
          <w:szCs w:val="22"/>
        </w:rPr>
        <w:t xml:space="preserve">3. COMPLETION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1445"/>
        <w:gridCol w:w="241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Party</w:t>
            </w:r>
          </w:p>
        </w:tc>
        <w:tc>
          <w:tcPr>
            <w:tcW w:type="dxa" w:w="24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Deadline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Seller delivers the executed instrument of transfer and the share certificate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Seller</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 pays the consideration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 executes the deed of adherence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resolution approving the transfer and registration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Instrument of transfer stamped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[Buyer]</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the prescribed period from execution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lodged and the Registrar’s register updated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New share certificate issued to the Buyer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Seller’s certificate cancelled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Registrable controllers register reviewed</w:t>
            </w:r>
            <w:r>
              <w:rPr>
                <w:rFonts w:ascii="Calibri" w:cs="Calibri" w:eastAsia="Calibri" w:hAnsi="Calibri"/>
                <w:sz w:val="17"/>
                <w:szCs w:val="17"/>
              </w:rPr>
              <w:t xml:space="preserve"> — has control changed?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change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Central register filing made where required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of nominee shareholders updated where the Buyer holds as nominee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change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Seller resigns any directorship and is removed from bank mandates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 table reconciled to the Registrar’s register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w:t>
            </w:r>
          </w:p>
        </w:tc>
      </w:tr>
    </w:tbl>
    <w:p>
      <w:pPr>
        <w:spacing w:after="140"/>
      </w:pPr>
    </w:p>
    <w:p>
      <w:pPr>
        <w:keepNext/>
        <w:spacing w:after="120" w:before="280"/>
        <w:outlineLvl w:val="0"/>
      </w:pPr>
      <w:r>
        <w:rPr>
          <w:rFonts w:ascii="Calibri" w:cs="Calibri" w:eastAsia="Calibri" w:hAnsi="Calibri"/>
          <w:b/>
          <w:bCs/>
          <w:color w:val="14161B"/>
          <w:sz w:val="22"/>
          <w:szCs w:val="22"/>
        </w:rPr>
        <w:t xml:space="preserve">4. DEFERRED CONSIDERATION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[Where consideration is deferred]</w:t>
      </w:r>
      <w:r>
        <w:rPr>
          <w:rFonts w:ascii="Calibri" w:cs="Calibri" w:eastAsia="Calibri" w:hAnsi="Calibri"/>
          <w:sz w:val="21"/>
          <w:szCs w:val="21"/>
        </w:rPr>
        <w:t xml:space="preser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is payable at Completion and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[subject to the conditions in Schedule 2]</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[Where an earn-out applies]</w:t>
      </w:r>
      <w:r>
        <w:rPr>
          <w:rFonts w:ascii="Calibri" w:cs="Calibri" w:eastAsia="Calibri" w:hAnsi="Calibri"/>
          <w:sz w:val="21"/>
          <w:szCs w:val="21"/>
        </w:rPr>
        <w:t xml:space="preserve"> Additional consideration of up to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is payable by reference to </w:t>
      </w:r>
      <w:r>
        <w:rPr>
          <w:rFonts w:ascii="Calibri" w:cs="Calibri" w:eastAsia="Calibri" w:hAnsi="Calibri"/>
          <w:b/>
          <w:bCs/>
          <w:sz w:val="21"/>
          <w:szCs w:val="21"/>
        </w:rPr>
        <w:t xml:space="preserve">[THE METRIC]</w:t>
      </w:r>
      <w:r>
        <w:rPr>
          <w:rFonts w:ascii="Calibri" w:cs="Calibri" w:eastAsia="Calibri" w:hAnsi="Calibri"/>
          <w:sz w:val="21"/>
          <w:szCs w:val="21"/>
        </w:rPr>
        <w:t xml:space="preserve"> for the period ending </w:t>
      </w:r>
      <w:r>
        <w:rPr>
          <w:rFonts w:ascii="Calibri" w:cs="Calibri" w:eastAsia="Calibri" w:hAnsi="Calibri"/>
          <w:b/>
          <w:bCs/>
          <w:sz w:val="21"/>
          <w:szCs w:val="21"/>
        </w:rPr>
        <w:t xml:space="preserve">[DATE]</w:t>
      </w:r>
      <w:r>
        <w:rPr>
          <w:rFonts w:ascii="Calibri" w:cs="Calibri" w:eastAsia="Calibri" w:hAnsi="Calibri"/>
          <w:sz w:val="21"/>
          <w:szCs w:val="21"/>
        </w:rPr>
        <w:t xml:space="preserve">, computed as set out in Schedule 2.</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[Where consideration is retained]</w:t>
      </w:r>
      <w:r>
        <w:rPr>
          <w:rFonts w:ascii="Calibri" w:cs="Calibri" w:eastAsia="Calibri" w:hAnsi="Calibri"/>
          <w:sz w:val="21"/>
          <w:szCs w:val="21"/>
        </w:rPr>
        <w:t xml:space="preser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shall be held in </w:t>
      </w:r>
      <w:r>
        <w:rPr>
          <w:rFonts w:ascii="Calibri" w:cs="Calibri" w:eastAsia="Calibri" w:hAnsi="Calibri"/>
          <w:b/>
          <w:bCs/>
          <w:sz w:val="21"/>
          <w:szCs w:val="21"/>
        </w:rPr>
        <w:t xml:space="preserve">[an escrow account / retention]</w:t>
      </w:r>
      <w:r>
        <w:rPr>
          <w:rFonts w:ascii="Calibri" w:cs="Calibri" w:eastAsia="Calibri" w:hAnsi="Calibri"/>
          <w:sz w:val="21"/>
          <w:szCs w:val="21"/>
        </w:rPr>
        <w:t xml:space="preserve"> until </w:t>
      </w:r>
      <w:r>
        <w:rPr>
          <w:rFonts w:ascii="Calibri" w:cs="Calibri" w:eastAsia="Calibri" w:hAnsi="Calibri"/>
          <w:b/>
          <w:bCs/>
          <w:sz w:val="21"/>
          <w:szCs w:val="21"/>
        </w:rPr>
        <w:t xml:space="preserve">[DATE]</w:t>
      </w:r>
      <w:r>
        <w:rPr>
          <w:rFonts w:ascii="Calibri" w:cs="Calibri" w:eastAsia="Calibri" w:hAnsi="Calibri"/>
          <w:sz w:val="21"/>
          <w:szCs w:val="21"/>
        </w:rPr>
        <w:t xml:space="preserve"> as security for warranty claims.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Earn-outs are where secondary transactions go wrong. The metric must be objectively measurable, the buyer must be restricted from acting so as to defeat it, and the computation must be capable of being audited. Vague earn-outs produce litigation.</w:t>
      </w:r>
    </w:p>
    <w:p>
      <w:pPr>
        <w:keepNext/>
        <w:spacing w:after="120" w:before="280"/>
        <w:outlineLvl w:val="0"/>
      </w:pPr>
      <w:r>
        <w:rPr>
          <w:rFonts w:ascii="Calibri" w:cs="Calibri" w:eastAsia="Calibri" w:hAnsi="Calibri"/>
          <w:b/>
          <w:bCs/>
          <w:color w:val="14161B"/>
          <w:sz w:val="22"/>
          <w:szCs w:val="22"/>
        </w:rPr>
        <w:t xml:space="preserve">5. SELLER WARRANTIES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Seller warrants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it is the sole legal and beneficial owner of the Sale Shares;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Sale Shares are fully paid and free from encumbrances;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it has full power and authority to sell them;</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 person has any right to acquire the Sale Shares;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on Completion the Buyer will acquire full legal and beneficial title.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[Where the Seller also gives business warranties]</w:t>
      </w:r>
      <w:r>
        <w:rPr>
          <w:rFonts w:ascii="Calibri" w:cs="Calibri" w:eastAsia="Calibri" w:hAnsi="Calibri"/>
          <w:sz w:val="21"/>
          <w:szCs w:val="21"/>
        </w:rPr>
        <w:t xml:space="preserve"> The Seller further warrants in the terms of Schedule 1, subject to the disclosure letter.</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A departing founder or minority holder selling a small stake should give </w:t>
      </w:r>
      <w:r>
        <w:rPr>
          <w:rFonts w:ascii="Calibri" w:cs="Calibri" w:eastAsia="Calibri" w:hAnsi="Calibri"/>
          <w:i/>
          <w:iCs/>
          <w:sz w:val="21"/>
          <w:szCs w:val="21"/>
        </w:rPr>
        <w:t xml:space="preserve">title warranties only</w:t>
      </w:r>
      <w:r>
        <w:rPr>
          <w:rFonts w:ascii="Calibri" w:cs="Calibri" w:eastAsia="Calibri" w:hAnsi="Calibri"/>
          <w:i/>
          <w:iCs/>
          <w:sz w:val="21"/>
          <w:szCs w:val="21"/>
        </w:rPr>
        <w:t xml:space="preserve">. Business warranties from a seller who no longer runs the company are difficult to justify, and a seller with no management role has no way to verify them.</w:t>
      </w:r>
    </w:p>
    <w:p>
      <w:pPr>
        <w:keepNext/>
        <w:spacing w:after="120" w:before="280"/>
        <w:outlineLvl w:val="0"/>
      </w:pPr>
      <w:r>
        <w:rPr>
          <w:rFonts w:ascii="Calibri" w:cs="Calibri" w:eastAsia="Calibri" w:hAnsi="Calibri"/>
          <w:b/>
          <w:bCs/>
          <w:color w:val="14161B"/>
          <w:sz w:val="22"/>
          <w:szCs w:val="22"/>
        </w:rPr>
        <w:t xml:space="preserve">6. LIMITS ON LIABILITY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011"/>
        <w:gridCol w:w="4627"/>
      </w:tblGrid>
      <w:tr>
        <w:trPr>
          <w:tblHeader/>
        </w:trPr>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Limit</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on title warranties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consideration received by the Seller</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on business warranties, where given</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lower figure — negotiate]</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limit — title warranties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[7]</w:t>
            </w:r>
            <w:r>
              <w:rPr>
                <w:rFonts w:ascii="Calibri" w:cs="Calibri" w:eastAsia="Calibri" w:hAnsi="Calibri"/>
                <w:sz w:val="18"/>
                <w:szCs w:val="18"/>
              </w:rPr>
              <w:t xml:space="preserve"> years</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limit — business warranties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[18]</w:t>
            </w:r>
            <w:r>
              <w:rPr>
                <w:rFonts w:ascii="Calibri" w:cs="Calibri" w:eastAsia="Calibri" w:hAnsi="Calibri"/>
                <w:sz w:val="18"/>
                <w:szCs w:val="18"/>
              </w:rPr>
              <w:t xml:space="preserve"> months</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 minimis per claim</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Aggregate threshold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Several liability where multiple sellers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Each capped at their own consideration</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Fraud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limit applies</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RESTRICTIONS AND UNDERTAKINGS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[Where the Seller is a founder or was involved in the business]</w:t>
      </w:r>
      <w:r>
        <w:rPr>
          <w:rFonts w:ascii="Calibri" w:cs="Calibri" w:eastAsia="Calibri" w:hAnsi="Calibri"/>
          <w:sz w:val="21"/>
          <w:szCs w:val="21"/>
        </w:rPr>
        <w:t xml:space="preserve"> 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Completion the Seller shall not solicit customers or employees of the Company with whom it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Completion, in relation to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Seller shall keep confidential all information concerning the Company.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Seller shall resign any directorship or office held, and shall be removed from all bank mandates and authorities, at Completion.</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Seller confirms it has no claim against the Company, whether as employee, director, shareholder or creditor, save as disclosed in Schedule 3.</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i/>
          <w:iCs/>
          <w:sz w:val="21"/>
          <w:szCs w:val="21"/>
        </w:rPr>
        <w:t xml:space="preserve">Clause 7.4 matters. A departing founder with an undocumented loan account, unpaid salary or an equity promise is a claim waiting to surface after the buyer has paid.</w:t>
      </w:r>
    </w:p>
    <w:p>
      <w:pPr>
        <w:keepNext/>
        <w:spacing w:after="120" w:before="280"/>
        <w:outlineLvl w:val="0"/>
      </w:pPr>
      <w:r>
        <w:rPr>
          <w:rFonts w:ascii="Calibri" w:cs="Calibri" w:eastAsia="Calibri" w:hAnsi="Calibri"/>
          <w:b/>
          <w:bCs/>
          <w:color w:val="14161B"/>
          <w:sz w:val="22"/>
          <w:szCs w:val="22"/>
        </w:rPr>
        <w:t xml:space="preserve">8. TAX AND STAMP DUTY</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b/>
          <w:bCs/>
          <w:sz w:val="21"/>
          <w:szCs w:val="21"/>
        </w:rPr>
        <w:t xml:space="preserve">Stamp duty</w:t>
      </w:r>
      <w:r>
        <w:rPr>
          <w:rFonts w:ascii="Calibri" w:cs="Calibri" w:eastAsia="Calibri" w:hAnsi="Calibri"/>
          <w:sz w:val="21"/>
          <w:szCs w:val="21"/>
        </w:rPr>
        <w:t xml:space="preserve"> on the instrument of transfer is payable by </w:t>
      </w:r>
      <w:r>
        <w:rPr>
          <w:rFonts w:ascii="Calibri" w:cs="Calibri" w:eastAsia="Calibri" w:hAnsi="Calibri"/>
          <w:b/>
          <w:bCs/>
          <w:sz w:val="21"/>
          <w:szCs w:val="21"/>
        </w:rPr>
        <w:t xml:space="preserve">[the Buyer]</w:t>
      </w:r>
      <w:r>
        <w:rPr>
          <w:rFonts w:ascii="Calibri" w:cs="Calibri" w:eastAsia="Calibri" w:hAnsi="Calibri"/>
          <w:sz w:val="21"/>
          <w:szCs w:val="21"/>
        </w:rPr>
        <w:t xml:space="preserve"> within the prescribed period from execution. </w:t>
      </w:r>
      <w:r>
        <w:rPr>
          <w:rFonts w:ascii="Calibri" w:cs="Calibri" w:eastAsia="Calibri" w:hAnsi="Calibri"/>
          <w:i/>
          <w:iCs/>
          <w:sz w:val="21"/>
          <w:szCs w:val="21"/>
        </w:rPr>
        <w:t xml:space="preserve">Late stamping attracts penalties, and an unstamped instrument is inadmissible in evidence.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Singapore does not generally tax capital gains. </w:t>
      </w:r>
      <w:r>
        <w:rPr>
          <w:rFonts w:ascii="Calibri" w:cs="Calibri" w:eastAsia="Calibri" w:hAnsi="Calibri"/>
          <w:b/>
          <w:bCs/>
          <w:sz w:val="21"/>
          <w:szCs w:val="21"/>
        </w:rPr>
        <w:t xml:space="preserve">Where shares are held or traded as part of a business rather than as a long-term investment, the gain may be treated as income and taxed.</w:t>
      </w:r>
      <w:r>
        <w:rPr>
          <w:rFonts w:ascii="Calibri" w:cs="Calibri" w:eastAsia="Calibri" w:hAnsi="Calibri"/>
          <w:sz w:val="21"/>
          <w:szCs w:val="21"/>
        </w:rPr>
        <w:t xml:space="preserve"> Each party is responsible for its own tax position and should take its own advice.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[Where the Seller is not resident in Singapore]</w:t>
      </w:r>
      <w:r>
        <w:rPr>
          <w:rFonts w:ascii="Calibri" w:cs="Calibri" w:eastAsia="Calibri" w:hAnsi="Calibri"/>
          <w:sz w:val="21"/>
          <w:szCs w:val="21"/>
        </w:rPr>
        <w:t xml:space="preserve"> The parties shall consider whether any withholding obligation arises.</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Each party bears its own costs.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This agreement is the entire agreement between the parties.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A person who is not a party has no right under the Contracts (Rights of Third Parties) Act 2001 to enforce any term.</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Seller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Buyer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Instrument of Transfer</w:t>
      </w:r>
    </w:p>
    <w:p>
      <w:pPr>
        <w:spacing w:after="140" w:before="0" w:line="276"/>
        <w:jc w:val="both"/>
      </w:pPr>
      <w:r>
        <w:rPr>
          <w:rFonts w:ascii="Calibri" w:cs="Calibri" w:eastAsia="Calibri" w:hAnsi="Calibri"/>
          <w:i/>
          <w:iCs/>
          <w:sz w:val="21"/>
          <w:szCs w:val="21"/>
        </w:rPr>
        <w:t xml:space="preserve">A separate instrument of transfer is required and is the document that must be stamped.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Transferor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of </w:t>
            </w: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[NRIC / UEN]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Transferee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of </w:t>
            </w: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[NRIC / UEN]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and class of shares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b/>
                <w:bCs/>
                <w:sz w:val="19"/>
                <w:szCs w:val="19"/>
              </w:rPr>
              <w:t xml:space="preserve"> </w:t>
            </w:r>
            <w:r>
              <w:rPr>
                <w:rFonts w:ascii="Calibri" w:cs="Calibri" w:eastAsia="Calibri" w:hAnsi="Calibri"/>
                <w:b/>
                <w:bCs/>
                <w:sz w:val="19"/>
                <w:szCs w:val="19"/>
              </w:rPr>
              <w:t xml:space="preserve">[ordinary]</w:t>
            </w:r>
            <w:r>
              <w:rPr>
                <w:rFonts w:ascii="Calibri" w:cs="Calibri" w:eastAsia="Calibri" w:hAnsi="Calibri"/>
                <w:b/>
                <w:bCs/>
                <w:sz w:val="19"/>
                <w:szCs w:val="19"/>
              </w:rPr>
              <w:t xml:space="preserve"> shares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 words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WORDS]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Consideration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execution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Stamping deadline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Stamp certificate reference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Transferor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Transferee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Secondary Sale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Confirmed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Pre-emption rights identified and dealt with</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transfer in breach may be void or refused registration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Board approval obtained; directors may refuse registration</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constitution usually gives a discretion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consent under the shareholders’ agreement obtained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Investor consent is commonly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Lock-up or transfer restriction period expired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 are frequently locked up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Deed of adherence executed by the buyer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Otherwise the buyer is not bound by transfer restrictions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Tag-along rights offered where the sale is by a majority holder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transfer ignoring tag may be void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Instrument of transfer executed and stamped in time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Unstamped is inadmissible; penalties apply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Transfer lodged; Registrar’s register updated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That register determines title for a private company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Certificates cancelled and reissued</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Controllers register reviewed and central filing made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crossing of the threshold triggers obligations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Nominee shareholder position established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Separate register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Seller resigned offices; removed from mandates and authorities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Dormant authority is a real risk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Seller confirmed no outstanding claims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Loan accounts and equity promises surface later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Fifty-member limit checked after the transfer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Private company limit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 position considered by both parties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Trading versus capital treatment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Stamp the transfer, on time</w:t>
      </w:r>
    </w:p>
    <w:p>
      <w:pPr>
        <w:spacing w:after="60" w:line="264"/>
        <w:jc w:val="both"/>
      </w:pPr>
      <w:r>
        <w:rPr>
          <w:rFonts w:ascii="Calibri" w:cs="Calibri" w:eastAsia="Calibri" w:hAnsi="Calibri"/>
          <w:sz w:val="19"/>
          <w:szCs w:val="19"/>
        </w:rPr>
        <w:t xml:space="preserve">A transfer of existing shares attracts stamp duty on the instrument, payable within the prescribed period from execution. Late stamping attracts penalties, and an unstamped instrument is inadmissible in evidence — which matters at precisely the moment someone needs to prove the transfer happened. Build it into completion, not the follow-up list.</w:t>
      </w:r>
    </w:p>
    <w:p>
      <w:pPr>
        <w:keepNext/>
        <w:spacing w:after="40" w:before="140"/>
      </w:pPr>
      <w:r>
        <w:rPr>
          <w:rFonts w:ascii="Calibri" w:cs="Calibri" w:eastAsia="Calibri" w:hAnsi="Calibri"/>
          <w:b/>
          <w:bCs/>
          <w:color w:val="14161B"/>
          <w:sz w:val="20"/>
          <w:szCs w:val="20"/>
        </w:rPr>
        <w:t xml:space="preserve">Subscription attracts no duty; transfer does</w:t>
      </w:r>
    </w:p>
    <w:p>
      <w:pPr>
        <w:spacing w:after="60" w:line="264"/>
        <w:jc w:val="both"/>
      </w:pPr>
      <w:r>
        <w:rPr>
          <w:rFonts w:ascii="Calibri" w:cs="Calibri" w:eastAsia="Calibri" w:hAnsi="Calibri"/>
          <w:sz w:val="19"/>
          <w:szCs w:val="19"/>
        </w:rPr>
        <w:t xml:space="preserve">This is the practical difference founders most often miss when choosing between issuing new shares and selling existing ones. It is not the only difference, but it is a real cost.</w:t>
      </w:r>
    </w:p>
    <w:p>
      <w:pPr>
        <w:keepNext/>
        <w:spacing w:after="40" w:before="140"/>
      </w:pPr>
      <w:r>
        <w:rPr>
          <w:rFonts w:ascii="Calibri" w:cs="Calibri" w:eastAsia="Calibri" w:hAnsi="Calibri"/>
          <w:b/>
          <w:bCs/>
          <w:color w:val="14161B"/>
          <w:sz w:val="20"/>
          <w:szCs w:val="20"/>
        </w:rPr>
        <w:t xml:space="preserve">Pre-emption first, always</w:t>
      </w:r>
    </w:p>
    <w:p>
      <w:pPr>
        <w:spacing w:after="60" w:line="264"/>
        <w:jc w:val="both"/>
      </w:pPr>
      <w:r>
        <w:rPr>
          <w:rFonts w:ascii="Calibri" w:cs="Calibri" w:eastAsia="Calibri" w:hAnsi="Calibri"/>
          <w:sz w:val="19"/>
          <w:szCs w:val="19"/>
        </w:rPr>
        <w:t xml:space="preserve">Where the constitution or shareholders’ agreement gives existing holders a right of first refusal, a transfer completed without offering it can be void or refused registration. Condition 2.1(a) comes first for that reason, and it is the step most often skipped in a friendly secondary sale between people who all know each other.</w:t>
      </w:r>
    </w:p>
    <w:p>
      <w:pPr>
        <w:keepNext/>
        <w:spacing w:after="40" w:before="140"/>
      </w:pPr>
      <w:r>
        <w:rPr>
          <w:rFonts w:ascii="Calibri" w:cs="Calibri" w:eastAsia="Calibri" w:hAnsi="Calibri"/>
          <w:b/>
          <w:bCs/>
          <w:color w:val="14161B"/>
          <w:sz w:val="20"/>
          <w:szCs w:val="20"/>
        </w:rPr>
        <w:t xml:space="preserve">The directors can refuse to register</w:t>
      </w:r>
    </w:p>
    <w:p>
      <w:pPr>
        <w:spacing w:after="60" w:line="264"/>
        <w:jc w:val="both"/>
      </w:pPr>
      <w:r>
        <w:rPr>
          <w:rFonts w:ascii="Calibri" w:cs="Calibri" w:eastAsia="Calibri" w:hAnsi="Calibri"/>
          <w:sz w:val="19"/>
          <w:szCs w:val="19"/>
        </w:rPr>
        <w:t xml:space="preserve">Most constitutions give the directors an absolute discretion to decline to register a transfer. A buyer who has paid without securing board approval may find itself unable to be entered in the register. Deal with it as a condition, not an assumption.</w:t>
      </w:r>
    </w:p>
    <w:p>
      <w:pPr>
        <w:keepNext/>
        <w:spacing w:after="40" w:before="140"/>
      </w:pPr>
      <w:r>
        <w:rPr>
          <w:rFonts w:ascii="Calibri" w:cs="Calibri" w:eastAsia="Calibri" w:hAnsi="Calibri"/>
          <w:b/>
          <w:bCs/>
          <w:color w:val="14161B"/>
          <w:sz w:val="20"/>
          <w:szCs w:val="20"/>
        </w:rPr>
        <w:t xml:space="preserve">A departing seller should give title warranties only</w:t>
      </w:r>
    </w:p>
    <w:p>
      <w:pPr>
        <w:spacing w:after="60" w:line="264"/>
        <w:jc w:val="both"/>
      </w:pPr>
      <w:r>
        <w:rPr>
          <w:rFonts w:ascii="Calibri" w:cs="Calibri" w:eastAsia="Calibri" w:hAnsi="Calibri"/>
          <w:sz w:val="19"/>
          <w:szCs w:val="19"/>
        </w:rPr>
        <w:t xml:space="preserve">Business warranties from someone who no longer manages the company are difficult to justify and impossible for the seller to verify. Clause 5.3 says so. Buyers wanting business warranties should look to the company and continuing management, not to an exiting minority holder.</w:t>
      </w:r>
    </w:p>
    <w:p>
      <w:pPr>
        <w:keepNext/>
        <w:spacing w:after="40" w:before="140"/>
      </w:pPr>
      <w:r>
        <w:rPr>
          <w:rFonts w:ascii="Calibri" w:cs="Calibri" w:eastAsia="Calibri" w:hAnsi="Calibri"/>
          <w:b/>
          <w:bCs/>
          <w:color w:val="14161B"/>
          <w:sz w:val="20"/>
          <w:szCs w:val="20"/>
        </w:rPr>
        <w:t xml:space="preserve">Several liability where there are multiple sellers</w:t>
      </w:r>
    </w:p>
    <w:p>
      <w:pPr>
        <w:spacing w:after="60" w:line="264"/>
        <w:jc w:val="both"/>
      </w:pPr>
      <w:r>
        <w:rPr>
          <w:rFonts w:ascii="Calibri" w:cs="Calibri" w:eastAsia="Calibri" w:hAnsi="Calibri"/>
          <w:sz w:val="19"/>
          <w:szCs w:val="19"/>
        </w:rPr>
        <w:t xml:space="preserve">Each seller should be liable only for its own warranties and capped at its own consideration. Joint liability lets a buyer pursue one seller for the whole claim, leaving that seller to chase the others. This is the most important limitation for any selling shareholder.</w:t>
      </w:r>
    </w:p>
    <w:p>
      <w:pPr>
        <w:keepNext/>
        <w:spacing w:after="40" w:before="140"/>
      </w:pPr>
      <w:r>
        <w:rPr>
          <w:rFonts w:ascii="Calibri" w:cs="Calibri" w:eastAsia="Calibri" w:hAnsi="Calibri"/>
          <w:b/>
          <w:bCs/>
          <w:color w:val="14161B"/>
          <w:sz w:val="20"/>
          <w:szCs w:val="20"/>
        </w:rPr>
        <w:t xml:space="preserve">Earn-outs need objective metrics and buyer restrictions</w:t>
      </w:r>
    </w:p>
    <w:p>
      <w:pPr>
        <w:spacing w:after="60" w:line="264"/>
        <w:jc w:val="both"/>
      </w:pPr>
      <w:r>
        <w:rPr>
          <w:rFonts w:ascii="Calibri" w:cs="Calibri" w:eastAsia="Calibri" w:hAnsi="Calibri"/>
          <w:sz w:val="19"/>
          <w:szCs w:val="19"/>
        </w:rPr>
        <w:t xml:space="preserve">An earn-out measured on a figure the buyer controls, with no restriction on the buyer acting to depress it, is an invitation to litigation. Define the metric, define how it is computed, give the seller audit rights, and restrict the buyer from restructuring the business so as to defeat it.</w:t>
      </w:r>
    </w:p>
    <w:p>
      <w:pPr>
        <w:keepNext/>
        <w:spacing w:after="40" w:before="140"/>
      </w:pPr>
      <w:r>
        <w:rPr>
          <w:rFonts w:ascii="Calibri" w:cs="Calibri" w:eastAsia="Calibri" w:hAnsi="Calibri"/>
          <w:b/>
          <w:bCs/>
          <w:color w:val="14161B"/>
          <w:sz w:val="20"/>
          <w:szCs w:val="20"/>
        </w:rPr>
        <w:t xml:space="preserve">Get the no-claims confirmation</w:t>
      </w:r>
    </w:p>
    <w:p>
      <w:pPr>
        <w:spacing w:after="60" w:line="264"/>
        <w:jc w:val="both"/>
      </w:pPr>
      <w:r>
        <w:rPr>
          <w:rFonts w:ascii="Calibri" w:cs="Calibri" w:eastAsia="Calibri" w:hAnsi="Calibri"/>
          <w:sz w:val="19"/>
          <w:szCs w:val="19"/>
        </w:rPr>
        <w:t xml:space="preserve">Clause 7.4 requires the seller to confirm it has no outstanding claim as employee, director, shareholder or creditor. Undocumented founder loan accounts, unpaid salary and informal equity promises are common in early-stage companies and surface after the buyer has paid.</w:t>
      </w:r>
    </w:p>
    <w:p>
      <w:pPr>
        <w:keepNext/>
        <w:spacing w:after="40" w:before="140"/>
      </w:pPr>
      <w:r>
        <w:rPr>
          <w:rFonts w:ascii="Calibri" w:cs="Calibri" w:eastAsia="Calibri" w:hAnsi="Calibri"/>
          <w:b/>
          <w:bCs/>
          <w:color w:val="14161B"/>
          <w:sz w:val="20"/>
          <w:szCs w:val="20"/>
        </w:rPr>
        <w:t xml:space="preserve">Remove the seller’s authority at completion</w:t>
      </w:r>
    </w:p>
    <w:p>
      <w:pPr>
        <w:spacing w:after="60" w:line="264"/>
        <w:jc w:val="both"/>
      </w:pPr>
      <w:r>
        <w:rPr>
          <w:rFonts w:ascii="Calibri" w:cs="Calibri" w:eastAsia="Calibri" w:hAnsi="Calibri"/>
          <w:sz w:val="19"/>
          <w:szCs w:val="19"/>
        </w:rPr>
        <w:t xml:space="preserve">Resigning a directorship does not remove a bank mandate, a signing authority, a portal login or a power of attorney. Step 12 catches them. Departed shareholders retaining live authority is among the most common control failures found in later diligence.</w:t>
      </w:r>
    </w:p>
    <w:p>
      <w:pPr>
        <w:keepNext/>
        <w:spacing w:after="40" w:before="140"/>
      </w:pPr>
      <w:r>
        <w:rPr>
          <w:rFonts w:ascii="Calibri" w:cs="Calibri" w:eastAsia="Calibri" w:hAnsi="Calibri"/>
          <w:b/>
          <w:bCs/>
          <w:color w:val="14161B"/>
          <w:sz w:val="20"/>
          <w:szCs w:val="20"/>
        </w:rPr>
        <w:t xml:space="preserve">Capital gains are generally not taxed — but check the character</w:t>
      </w:r>
    </w:p>
    <w:p>
      <w:pPr>
        <w:spacing w:after="60" w:line="264"/>
        <w:jc w:val="both"/>
      </w:pPr>
      <w:r>
        <w:rPr>
          <w:rFonts w:ascii="Calibri" w:cs="Calibri" w:eastAsia="Calibri" w:hAnsi="Calibri"/>
          <w:sz w:val="19"/>
          <w:szCs w:val="19"/>
        </w:rPr>
        <w:t xml:space="preserve">Singapore does not generally tax capital gains. Where shares are held or dealt with as part of a trade rather than as a long-term investment, the gain may be treated as income. The distinction turns on the facts and both parties should take their own advice rather than assuming.</w:t>
      </w:r>
    </w:p>
    <w:p>
      <w:pPr>
        <w:keepNext/>
        <w:spacing w:after="40" w:before="140"/>
      </w:pPr>
      <w:r>
        <w:rPr>
          <w:rFonts w:ascii="Calibri" w:cs="Calibri" w:eastAsia="Calibri" w:hAnsi="Calibri"/>
          <w:b/>
          <w:bCs/>
          <w:color w:val="14161B"/>
          <w:sz w:val="20"/>
          <w:szCs w:val="20"/>
        </w:rPr>
        <w:t xml:space="preserve">Review the controllers register</w:t>
      </w:r>
    </w:p>
    <w:p>
      <w:pPr>
        <w:spacing w:after="60" w:line="264"/>
        <w:jc w:val="both"/>
      </w:pPr>
      <w:r>
        <w:rPr>
          <w:rFonts w:ascii="Calibri" w:cs="Calibri" w:eastAsia="Calibri" w:hAnsi="Calibri"/>
          <w:sz w:val="19"/>
          <w:szCs w:val="19"/>
        </w:rPr>
        <w:t xml:space="preserve">A buyer crossing the significant-interest threshold becomes a registrable controller, with an entry and a central filing obligation, and the seller may cease to be one. Both changes need recording and filing.</w:t>
      </w:r>
    </w:p>
    <w:p>
      <w:pPr>
        <w:keepNext/>
        <w:spacing w:after="40" w:before="140"/>
      </w:pPr>
      <w:r>
        <w:rPr>
          <w:rFonts w:ascii="Calibri" w:cs="Calibri" w:eastAsia="Calibri" w:hAnsi="Calibri"/>
          <w:b/>
          <w:bCs/>
          <w:color w:val="14161B"/>
          <w:sz w:val="20"/>
          <w:szCs w:val="20"/>
        </w:rPr>
        <w:t xml:space="preserve">The Registrar’s register determines title</w:t>
      </w:r>
    </w:p>
    <w:p>
      <w:pPr>
        <w:spacing w:after="60" w:line="264"/>
        <w:jc w:val="both"/>
      </w:pPr>
      <w:r>
        <w:rPr>
          <w:rFonts w:ascii="Calibri" w:cs="Calibri" w:eastAsia="Calibri" w:hAnsi="Calibri"/>
          <w:sz w:val="19"/>
          <w:szCs w:val="19"/>
        </w:rPr>
        <w:t xml:space="preserve">For a private company the register of members maintained by the Registrar is prima facie evidence of legal title. A transfer executed and stamped but never lodged leaves the buyer off the register that matters. Lodge on completion.</w:t>
      </w:r>
    </w:p>
    <w:p>
      <w:pPr>
        <w:keepNext/>
        <w:spacing w:after="40" w:before="140"/>
      </w:pPr>
      <w:r>
        <w:rPr>
          <w:rFonts w:ascii="Calibri" w:cs="Calibri" w:eastAsia="Calibri" w:hAnsi="Calibri"/>
          <w:b/>
          <w:bCs/>
          <w:color w:val="14161B"/>
          <w:sz w:val="20"/>
          <w:szCs w:val="20"/>
        </w:rPr>
        <w:t xml:space="preserve">Watch the fifty-member limit</w:t>
      </w:r>
    </w:p>
    <w:p>
      <w:pPr>
        <w:spacing w:after="60" w:line="264"/>
        <w:jc w:val="both"/>
      </w:pPr>
      <w:r>
        <w:rPr>
          <w:rFonts w:ascii="Calibri" w:cs="Calibri" w:eastAsia="Calibri" w:hAnsi="Calibri"/>
          <w:sz w:val="19"/>
          <w:szCs w:val="19"/>
        </w:rPr>
        <w:t xml:space="preserve">A private company may not have more than fifty members, excluding employees and former employees who acquired shares while employed. Secondary sales that fragment a holding across many buyers can approach it.</w:t>
      </w:r>
    </w:p>
    <w:p>
      <w:pPr>
        <w:keepNext/>
        <w:spacing w:after="40" w:before="140"/>
      </w:pPr>
      <w:r>
        <w:rPr>
          <w:rFonts w:ascii="Calibri" w:cs="Calibri" w:eastAsia="Calibri" w:hAnsi="Calibri"/>
          <w:b/>
          <w:bCs/>
          <w:color w:val="14161B"/>
          <w:sz w:val="20"/>
          <w:szCs w:val="20"/>
        </w:rPr>
        <w:t xml:space="preserve">Tag-along on a majority sale</w:t>
      </w:r>
    </w:p>
    <w:p>
      <w:pPr>
        <w:spacing w:after="60" w:line="264"/>
        <w:jc w:val="both"/>
      </w:pPr>
      <w:r>
        <w:rPr>
          <w:rFonts w:ascii="Calibri" w:cs="Calibri" w:eastAsia="Calibri" w:hAnsi="Calibri"/>
          <w:sz w:val="19"/>
          <w:szCs w:val="19"/>
        </w:rPr>
        <w:t xml:space="preserve">Where a majority holder sells, minority holders usually have a right to join on the same terms, and a transfer made without offering it may be void. Check the shareholders’ agreement before agreeing a private sale.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Stamp duty rates and deadlines, transfer and register requirements under the Companies Act 1967, controller obligations and the tax treatment of share disposals all change — take legal and tax advice before any material secondary sale.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2026-08-22T06:55:31.556Z</dcterms:created>
  <dcterms:modified xsi:type="dcterms:W3CDTF">2026-08-22T06:55:31.556Z</dcterms:modified>
</cp:coreProperties>
</file>

<file path=docProps/custom.xml><?xml version="1.0" encoding="utf-8"?>
<Properties xmlns="http://schemas.openxmlformats.org/officeDocument/2006/custom-properties" xmlns:vt="http://schemas.openxmlformats.org/officeDocument/2006/docPropsVTypes"/>
</file>