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EMPLOYEE SHARE OWNERSHIP PLAN</w:t>
      </w:r>
    </w:p>
    <w:p>
      <w:pPr>
        <w:spacing w:after="260"/>
        <w:jc w:val="center"/>
      </w:pPr>
      <w:r>
        <w:rPr>
          <w:rFonts w:ascii="Calibri" w:cs="Calibri" w:eastAsia="Calibri" w:hAnsi="Calibri"/>
          <w:i/>
          <w:iCs/>
          <w:color w:val="6E7480"/>
          <w:sz w:val="19"/>
          <w:szCs w:val="19"/>
        </w:rPr>
        <w:t xml:space="preserve">Restricted share awards and performance shares</w:t>
      </w:r>
    </w:p>
    <w:p>
      <w:pPr>
        <w:spacing w:after="180" w:before="0" w:line="276"/>
        <w:jc w:val="both"/>
      </w:pPr>
      <w:r>
        <w:rPr>
          <w:rFonts w:ascii="Calibri" w:cs="Calibri" w:eastAsia="Calibri" w:hAnsi="Calibri"/>
          <w:i/>
          <w:iCs/>
          <w:color w:val="6E7480"/>
          <w:sz w:val="21"/>
          <w:szCs w:val="21"/>
        </w:rPr>
        <w:t xml:space="preserve">A share award gives shares or a right to shares, usually for no payment — which removes the exercise-cost problem that stops departing option holders from ever realising anything. It also changes the tax point: the benefit generally arises when the shares vest or restrictions lift, not on a later exercise the employee controls.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Plan name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b/>
                <w:bCs/>
                <w:sz w:val="19"/>
                <w:szCs w:val="19"/>
              </w:rPr>
              <w:t xml:space="preserve"> Share Ownership Plan </w:t>
            </w:r>
            <w:r>
              <w:rPr>
                <w:rFonts w:ascii="Calibri" w:cs="Calibri" w:eastAsia="Calibri" w:hAnsi="Calibri"/>
                <w:b/>
                <w:bCs/>
                <w:sz w:val="19"/>
                <w:szCs w:val="19"/>
              </w:rPr>
              <w:t xml:space="preserve">[YEAR]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Adopted by members 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Award type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[Restricted share award / Restricted share unit / Performance share]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Pool</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shares, being </w:t>
            </w:r>
            <w:r>
              <w:rPr>
                <w:rFonts w:ascii="Calibri" w:cs="Calibri" w:eastAsia="Calibri" w:hAnsi="Calibri"/>
                <w:b/>
                <w:bCs/>
                <w:sz w:val="19"/>
                <w:szCs w:val="19"/>
              </w:rPr>
              <w:t xml:space="preserve">[PERCENTAGE]</w:t>
            </w:r>
            <w:r>
              <w:rPr>
                <w:rFonts w:ascii="Calibri" w:cs="Calibri" w:eastAsia="Calibri" w:hAnsi="Calibri"/>
                <w:sz w:val="19"/>
                <w:szCs w:val="19"/>
              </w:rPr>
              <w:t xml:space="preserve"> fully diluted</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Administrator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[The Board / the Remuneration Committee]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Consideration payable by the participant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[Nil / S$ ______ per share]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Standard vesting</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[3]</w:t>
            </w:r>
            <w:r>
              <w:rPr>
                <w:rFonts w:ascii="Calibri" w:cs="Calibri" w:eastAsia="Calibri" w:hAnsi="Calibri"/>
                <w:sz w:val="19"/>
                <w:szCs w:val="19"/>
              </w:rPr>
              <w:t xml:space="preserve"> years, </w:t>
            </w:r>
            <w:r>
              <w:rPr>
                <w:rFonts w:ascii="Calibri" w:cs="Calibri" w:eastAsia="Calibri" w:hAnsi="Calibri"/>
                <w:b/>
                <w:bCs/>
                <w:sz w:val="19"/>
                <w:szCs w:val="19"/>
              </w:rPr>
              <w:t xml:space="preserve">[cliff / in equal annual instalments]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Settlement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[Newly issued shares / Existing shares held by a trust]</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Tax point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Generally on </w:t>
            </w:r>
            <w:r>
              <w:rPr>
                <w:rFonts w:ascii="Calibri" w:cs="Calibri" w:eastAsia="Calibri" w:hAnsi="Calibri"/>
                <w:b/>
                <w:bCs/>
                <w:sz w:val="19"/>
                <w:szCs w:val="19"/>
              </w:rPr>
              <w:t xml:space="preserve">vesting or removal of restrictions</w:t>
            </w:r>
            <w:r>
              <w:rPr>
                <w:rFonts w:ascii="Calibri" w:cs="Calibri" w:eastAsia="Calibri" w:hAnsi="Calibri"/>
                <w:sz w:val="19"/>
                <w:szCs w:val="19"/>
              </w:rPr>
              <w:t xml:space="preserve"> — see the notes</w:t>
            </w:r>
          </w:p>
        </w:tc>
      </w:tr>
    </w:tbl>
    <w:p>
      <w:pPr>
        <w:spacing w:after="180"/>
      </w:pPr>
    </w:p>
    <w:p>
      <w:pPr>
        <w:keepNext/>
        <w:spacing w:after="120" w:before="280"/>
        <w:outlineLvl w:val="0"/>
      </w:pPr>
      <w:r>
        <w:rPr>
          <w:rFonts w:ascii="Calibri" w:cs="Calibri" w:eastAsia="Calibri" w:hAnsi="Calibri"/>
          <w:b/>
          <w:bCs/>
          <w:color w:val="14161B"/>
          <w:sz w:val="22"/>
          <w:szCs w:val="22"/>
        </w:rPr>
        <w:t xml:space="preserve">1. STRUCTURE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3084"/>
        <w:gridCol w:w="2120"/>
        <w:gridCol w:w="2121"/>
      </w:tblGrid>
      <w:tr>
        <w:trPr>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Instrument</w:t>
            </w:r>
          </w:p>
        </w:tc>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What the participant gets</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When taxed</w:t>
            </w:r>
          </w:p>
        </w:tc>
        <w:tc>
          <w:tcPr>
            <w:tcW w:type="dxa" w:w="212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Suits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Restricted share award</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Shares issued now, subject to forfeiture and transfer restrictions until vesting</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Generally when restrictions lift</w:t>
            </w:r>
          </w:p>
        </w:tc>
        <w:tc>
          <w:tcPr>
            <w:tcW w:type="dxa" w:w="212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Senior hires where immediate shareholder status matters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Restricted share unit</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right to receive shares on vesting; no shares until then</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Generally on vesting or delivery</w:t>
            </w:r>
          </w:p>
        </w:tc>
        <w:tc>
          <w:tcPr>
            <w:tcW w:type="dxa" w:w="212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Broad-based plans; simpler administration</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Performance share</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right to shares conditional on performance conditions being met</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Generally on vesting</w:t>
            </w:r>
          </w:p>
        </w:tc>
        <w:tc>
          <w:tcPr>
            <w:tcW w:type="dxa" w:w="212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Executive incentives tied to outcomes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Option</w:t>
            </w:r>
            <w:r>
              <w:rPr>
                <w:rFonts w:ascii="Calibri" w:cs="Calibri" w:eastAsia="Calibri" w:hAnsi="Calibri"/>
                <w:sz w:val="17"/>
                <w:szCs w:val="17"/>
              </w:rPr>
              <w:t xml:space="preserve"> </w:t>
            </w:r>
            <w:r>
              <w:rPr>
                <w:rFonts w:ascii="Calibri" w:cs="Calibri" w:eastAsia="Calibri" w:hAnsi="Calibri"/>
                <w:i/>
                <w:iCs/>
                <w:sz w:val="17"/>
                <w:szCs w:val="17"/>
              </w:rPr>
              <w:t xml:space="preserve">(covered by the separate scheme rules)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right to buy shares at a price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Generally on exercise, subject to the deemed exercise rule</w:t>
            </w:r>
          </w:p>
        </w:tc>
        <w:tc>
          <w:tcPr>
            <w:tcW w:type="dxa" w:w="212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Early-stage companies where the share price should grow</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The choice between an option and an award is not merely tax. An award has value even if the share price does not rise, which makes it a retention instrument; an option only has value on growth, which makes it an incentive instrument. Decide which the company is trying to do.</w:t>
      </w:r>
    </w:p>
    <w:p>
      <w:pPr>
        <w:keepNext/>
        <w:spacing w:after="120" w:before="280"/>
        <w:outlineLvl w:val="0"/>
      </w:pPr>
      <w:r>
        <w:rPr>
          <w:rFonts w:ascii="Calibri" w:cs="Calibri" w:eastAsia="Calibri" w:hAnsi="Calibri"/>
          <w:b/>
          <w:bCs/>
          <w:color w:val="14161B"/>
          <w:sz w:val="22"/>
          <w:szCs w:val="22"/>
        </w:rPr>
        <w:t xml:space="preserve">2. GRANT</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Committee may grant Awards to employees of the Company and its subsidiaries, and to </w:t>
      </w:r>
      <w:r>
        <w:rPr>
          <w:rFonts w:ascii="Calibri" w:cs="Calibri" w:eastAsia="Calibri" w:hAnsi="Calibri"/>
          <w:b/>
          <w:bCs/>
          <w:sz w:val="21"/>
          <w:szCs w:val="21"/>
        </w:rPr>
        <w:t xml:space="preserve">[directors / consultants]</w:t>
      </w:r>
      <w:r>
        <w:rPr>
          <w:rFonts w:ascii="Calibri" w:cs="Calibri" w:eastAsia="Calibri" w:hAnsi="Calibri"/>
          <w:sz w:val="21"/>
          <w:szCs w:val="21"/>
        </w:rPr>
        <w:t xml:space="preserve"> it determines, at its discretion.</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Each Award shall be evidenced by an </w:t>
      </w:r>
      <w:r>
        <w:rPr>
          <w:rFonts w:ascii="Calibri" w:cs="Calibri" w:eastAsia="Calibri" w:hAnsi="Calibri"/>
          <w:b/>
          <w:bCs/>
          <w:sz w:val="21"/>
          <w:szCs w:val="21"/>
        </w:rPr>
        <w:t xml:space="preserve">Award Letter</w:t>
      </w:r>
      <w:r>
        <w:rPr>
          <w:rFonts w:ascii="Calibri" w:cs="Calibri" w:eastAsia="Calibri" w:hAnsi="Calibri"/>
          <w:sz w:val="21"/>
          <w:szCs w:val="21"/>
        </w:rPr>
        <w:t xml:space="preserve"> stating the number of Shares, the vesting schedule, any performance condition, the treatment on leaving, and any consideration payable.</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An Award takes effect on acceptance in writing within </w:t>
      </w:r>
      <w:r>
        <w:rPr>
          <w:rFonts w:ascii="Calibri" w:cs="Calibri" w:eastAsia="Calibri" w:hAnsi="Calibri"/>
          <w:b/>
          <w:bCs/>
          <w:sz w:val="21"/>
          <w:szCs w:val="21"/>
        </w:rPr>
        <w:t xml:space="preserve">[30]</w:t>
      </w:r>
      <w:r>
        <w:rPr>
          <w:rFonts w:ascii="Calibri" w:cs="Calibri" w:eastAsia="Calibri" w:hAnsi="Calibri"/>
          <w:sz w:val="21"/>
          <w:szCs w:val="21"/>
        </w:rPr>
        <w:t xml:space="preserve"> days.</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aggregate Shares subject to Awards shall not exceed </w:t>
      </w:r>
      <w:r>
        <w:rPr>
          <w:rFonts w:ascii="Calibri" w:cs="Calibri" w:eastAsia="Calibri" w:hAnsi="Calibri"/>
          <w:b/>
          <w:bCs/>
          <w:sz w:val="21"/>
          <w:szCs w:val="21"/>
        </w:rPr>
        <w:t xml:space="preserve">[NUMBER]</w:t>
      </w:r>
      <w:r>
        <w:rPr>
          <w:rFonts w:ascii="Calibri" w:cs="Calibri" w:eastAsia="Calibri" w:hAnsi="Calibri"/>
          <w:sz w:val="21"/>
          <w:szCs w:val="21"/>
        </w:rPr>
        <w:t xml:space="preserve"> Shares, subject to adjustment.</w:t>
      </w:r>
    </w:p>
    <w:p>
      <w:pPr>
        <w:keepNext/>
        <w:spacing w:after="120" w:before="280"/>
        <w:outlineLvl w:val="0"/>
      </w:pPr>
      <w:r>
        <w:rPr>
          <w:rFonts w:ascii="Calibri" w:cs="Calibri" w:eastAsia="Calibri" w:hAnsi="Calibri"/>
          <w:b/>
          <w:bCs/>
          <w:color w:val="14161B"/>
          <w:sz w:val="22"/>
          <w:szCs w:val="22"/>
        </w:rPr>
        <w:t xml:space="preserve">3. VESTING AND RESTRICTIONS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Awards vest in accordance with the Award Letter. The standard schedule is </w:t>
      </w:r>
      <w:r>
        <w:rPr>
          <w:rFonts w:ascii="Calibri" w:cs="Calibri" w:eastAsia="Calibri" w:hAnsi="Calibri"/>
          <w:b/>
          <w:bCs/>
          <w:sz w:val="21"/>
          <w:szCs w:val="21"/>
        </w:rPr>
        <w:t xml:space="preserve">[one-third]</w:t>
      </w:r>
      <w:r>
        <w:rPr>
          <w:rFonts w:ascii="Calibri" w:cs="Calibri" w:eastAsia="Calibri" w:hAnsi="Calibri"/>
          <w:sz w:val="21"/>
          <w:szCs w:val="21"/>
        </w:rPr>
        <w:t xml:space="preserve"> on each of the first, second and third anniversaries of the Vesting Commencement Date.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Vesting is conditional on continued employment or engagement to the vesting date.</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Vesting continues during paid statutory leave, including maternity, paternity, shared parental and childcare leave, and during medical leave.</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b/>
          <w:bCs/>
          <w:sz w:val="21"/>
          <w:szCs w:val="21"/>
        </w:rPr>
        <w:t xml:space="preserve">[Where restricted shares are issued upfront]</w:t>
      </w:r>
      <w:r>
        <w:rPr>
          <w:rFonts w:ascii="Calibri" w:cs="Calibri" w:eastAsia="Calibri" w:hAnsi="Calibri"/>
          <w:sz w:val="21"/>
          <w:szCs w:val="21"/>
        </w:rPr>
        <w:t xml:space="preserve"> Until vesting, the Shares are subject to the following restrictions: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they may not be transferred, charged or otherwise dealt with;</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they are subject to forfeiture or compulsory transfer at </w:t>
      </w:r>
      <w:r>
        <w:rPr>
          <w:rFonts w:ascii="Calibri" w:cs="Calibri" w:eastAsia="Calibri" w:hAnsi="Calibri"/>
          <w:b/>
          <w:bCs/>
          <w:sz w:val="21"/>
          <w:szCs w:val="21"/>
        </w:rPr>
        <w:t xml:space="preserve">[nil consideration / the amount paid]</w:t>
      </w:r>
      <w:r>
        <w:rPr>
          <w:rFonts w:ascii="Calibri" w:cs="Calibri" w:eastAsia="Calibri" w:hAnsi="Calibri"/>
          <w:sz w:val="21"/>
          <w:szCs w:val="21"/>
        </w:rPr>
        <w:t xml:space="preserve"> on the events in Rule 4;</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Participant </w:t>
      </w:r>
      <w:r>
        <w:rPr>
          <w:rFonts w:ascii="Calibri" w:cs="Calibri" w:eastAsia="Calibri" w:hAnsi="Calibri"/>
          <w:b/>
          <w:bCs/>
          <w:sz w:val="21"/>
          <w:szCs w:val="21"/>
        </w:rPr>
        <w:t xml:space="preserve">[may / may not]</w:t>
      </w:r>
      <w:r>
        <w:rPr>
          <w:rFonts w:ascii="Calibri" w:cs="Calibri" w:eastAsia="Calibri" w:hAnsi="Calibri"/>
          <w:sz w:val="21"/>
          <w:szCs w:val="21"/>
        </w:rPr>
        <w:t xml:space="preserve"> vote the Shares; and</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dividends declared on the Shares are </w:t>
      </w:r>
      <w:r>
        <w:rPr>
          <w:rFonts w:ascii="Calibri" w:cs="Calibri" w:eastAsia="Calibri" w:hAnsi="Calibri"/>
          <w:b/>
          <w:bCs/>
          <w:sz w:val="21"/>
          <w:szCs w:val="21"/>
        </w:rPr>
        <w:t xml:space="preserve">[paid to the Participant / retained and released on vesting / not payable]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b/>
          <w:bCs/>
          <w:sz w:val="21"/>
          <w:szCs w:val="21"/>
        </w:rPr>
        <w:t xml:space="preserve">[Where units are used]</w:t>
      </w:r>
      <w:r>
        <w:rPr>
          <w:rFonts w:ascii="Calibri" w:cs="Calibri" w:eastAsia="Calibri" w:hAnsi="Calibri"/>
          <w:sz w:val="21"/>
          <w:szCs w:val="21"/>
        </w:rPr>
        <w:t xml:space="preserve"> A Participant holding Units has no rights as a shareholder until Shares are delivered, and </w:t>
      </w:r>
      <w:r>
        <w:rPr>
          <w:rFonts w:ascii="Calibri" w:cs="Calibri" w:eastAsia="Calibri" w:hAnsi="Calibri"/>
          <w:b/>
          <w:bCs/>
          <w:sz w:val="21"/>
          <w:szCs w:val="21"/>
        </w:rPr>
        <w:t xml:space="preserve">[is / is not]</w:t>
      </w:r>
      <w:r>
        <w:rPr>
          <w:rFonts w:ascii="Calibri" w:cs="Calibri" w:eastAsia="Calibri" w:hAnsi="Calibri"/>
          <w:sz w:val="21"/>
          <w:szCs w:val="21"/>
        </w:rPr>
        <w:t xml:space="preserve"> entitled to a payment equivalent to dividends declared before delivery.</w:t>
      </w:r>
    </w:p>
    <w:p>
      <w:pPr>
        <w:spacing w:after="120" w:before="60" w:line="276"/>
        <w:ind w:left="720" w:hanging="720"/>
        <w:jc w:val="both"/>
      </w:pPr>
      <w:r>
        <w:rPr>
          <w:rFonts w:ascii="Calibri" w:cs="Calibri" w:eastAsia="Calibri" w:hAnsi="Calibri"/>
          <w:sz w:val="21"/>
          <w:szCs w:val="21"/>
        </w:rPr>
        <w:t xml:space="preserve">3.6	</w:t>
      </w:r>
      <w:r>
        <w:rPr>
          <w:rFonts w:ascii="Calibri" w:cs="Calibri" w:eastAsia="Calibri" w:hAnsi="Calibri"/>
          <w:b/>
          <w:bCs/>
          <w:sz w:val="21"/>
          <w:szCs w:val="21"/>
        </w:rPr>
        <w:t xml:space="preserve">[Where performance conditions apply]</w:t>
      </w:r>
      <w:r>
        <w:rPr>
          <w:rFonts w:ascii="Calibri" w:cs="Calibri" w:eastAsia="Calibri" w:hAnsi="Calibri"/>
          <w:sz w:val="21"/>
          <w:szCs w:val="21"/>
        </w:rPr>
        <w:t xml:space="preserve"> Vesting is additionally conditional on </w:t>
      </w:r>
      <w:r>
        <w:rPr>
          <w:rFonts w:ascii="Calibri" w:cs="Calibri" w:eastAsia="Calibri" w:hAnsi="Calibri"/>
          <w:b/>
          <w:bCs/>
          <w:sz w:val="21"/>
          <w:szCs w:val="21"/>
        </w:rPr>
        <w:t xml:space="preserve">[THE CONDITION]</w:t>
      </w:r>
      <w:r>
        <w:rPr>
          <w:rFonts w:ascii="Calibri" w:cs="Calibri" w:eastAsia="Calibri" w:hAnsi="Calibri"/>
          <w:sz w:val="21"/>
          <w:szCs w:val="21"/>
        </w:rPr>
        <w:t xml:space="preserve">, measured over </w:t>
      </w:r>
      <w:r>
        <w:rPr>
          <w:rFonts w:ascii="Calibri" w:cs="Calibri" w:eastAsia="Calibri" w:hAnsi="Calibri"/>
          <w:b/>
          <w:bCs/>
          <w:sz w:val="21"/>
          <w:szCs w:val="21"/>
        </w:rPr>
        <w:t xml:space="preserve">[PERIOD]</w:t>
      </w:r>
      <w:r>
        <w:rPr>
          <w:rFonts w:ascii="Calibri" w:cs="Calibri" w:eastAsia="Calibri" w:hAnsi="Calibri"/>
          <w:sz w:val="21"/>
          <w:szCs w:val="21"/>
        </w:rPr>
        <w:t xml:space="preserve">, determined by the Committee acting reasonably. The Committee shall notify Participants of the outcome of each measurement.</w:t>
      </w:r>
    </w:p>
    <w:p>
      <w:pPr>
        <w:keepNext/>
        <w:spacing w:after="120" w:before="280"/>
        <w:outlineLvl w:val="0"/>
      </w:pPr>
      <w:r>
        <w:rPr>
          <w:rFonts w:ascii="Calibri" w:cs="Calibri" w:eastAsia="Calibri" w:hAnsi="Calibri"/>
          <w:b/>
          <w:bCs/>
          <w:color w:val="14161B"/>
          <w:sz w:val="22"/>
          <w:szCs w:val="22"/>
        </w:rPr>
        <w:t xml:space="preserve">4. LEAVING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3662"/>
        <w:gridCol w:w="3278"/>
      </w:tblGrid>
      <w:tr>
        <w:trPr>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Circumstance</w:t>
            </w:r>
          </w:p>
        </w:tc>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Unvested Awards</w:t>
            </w:r>
          </w:p>
        </w:tc>
        <w:tc>
          <w:tcPr>
            <w:tcW w:type="dxa" w:w="32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Vested Shares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Resignation</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Forfeit</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Retained, subject to any transfer restriction</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Termination without cause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Forfeit </w:t>
            </w:r>
            <w:r>
              <w:rPr>
                <w:rFonts w:ascii="Calibri" w:cs="Calibri" w:eastAsia="Calibri" w:hAnsi="Calibri"/>
                <w:b/>
                <w:bCs/>
                <w:sz w:val="18"/>
                <w:szCs w:val="18"/>
              </w:rPr>
              <w:t xml:space="preserve">[or pro-rate at the Committee’s discretion]</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Retained</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Redundancy or retrenchment</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[Pro-rate for time served]</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Retained</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Retirement at or after the statutory retirement age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[Continue vesting / pro-rate]</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Retained</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Death</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Vest in full</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Pass to the legal personal representatives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Permanent incapacity</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Vest in full</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Retained</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Termination for cause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Forfeit</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[Subject to compulsory transfer — see Rule 5]</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Breach of restrictive covenants after leaving</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Forfeit</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[Subject to clawback where the Committee so determines]</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Forfeited Shares shall be transferred to </w:t>
      </w:r>
      <w:r>
        <w:rPr>
          <w:rFonts w:ascii="Calibri" w:cs="Calibri" w:eastAsia="Calibri" w:hAnsi="Calibri"/>
          <w:b/>
          <w:bCs/>
          <w:sz w:val="21"/>
          <w:szCs w:val="21"/>
        </w:rPr>
        <w:t xml:space="preserve">[the Company for cancellation / a person nominated by the Committee]</w:t>
      </w:r>
      <w:r>
        <w:rPr>
          <w:rFonts w:ascii="Calibri" w:cs="Calibri" w:eastAsia="Calibri" w:hAnsi="Calibri"/>
          <w:sz w:val="21"/>
          <w:szCs w:val="21"/>
        </w:rPr>
        <w:t xml:space="preserve"> at </w:t>
      </w:r>
      <w:r>
        <w:rPr>
          <w:rFonts w:ascii="Calibri" w:cs="Calibri" w:eastAsia="Calibri" w:hAnsi="Calibri"/>
          <w:b/>
          <w:bCs/>
          <w:sz w:val="21"/>
          <w:szCs w:val="21"/>
        </w:rPr>
        <w:t xml:space="preserve">[nil consideration / the amount paid by the Participant]</w:t>
      </w:r>
      <w:r>
        <w:rPr>
          <w:rFonts w:ascii="Calibri" w:cs="Calibri" w:eastAsia="Calibri" w:hAnsi="Calibri"/>
          <w:sz w:val="21"/>
          <w:szCs w:val="21"/>
        </w:rPr>
        <w:t xml:space="preserve">, and the Participant irrevocably appoints the Company as attorney to execute the transfer.</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COMPULSORY TRANSFER AND CLAWBACK</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Where a Participant is a </w:t>
      </w:r>
      <w:r>
        <w:rPr>
          <w:rFonts w:ascii="Calibri" w:cs="Calibri" w:eastAsia="Calibri" w:hAnsi="Calibri"/>
          <w:b/>
          <w:bCs/>
          <w:sz w:val="21"/>
          <w:szCs w:val="21"/>
        </w:rPr>
        <w:t xml:space="preserve">bad leaver</w:t>
      </w:r>
      <w:r>
        <w:rPr>
          <w:rFonts w:ascii="Calibri" w:cs="Calibri" w:eastAsia="Calibri" w:hAnsi="Calibri"/>
          <w:sz w:val="21"/>
          <w:szCs w:val="21"/>
        </w:rPr>
        <w:t xml:space="preserve"> — terminated for cause, or in serious breach of their restrictive covenants — the Committee may require the Participant to transfer vested Shares at </w:t>
      </w:r>
      <w:r>
        <w:rPr>
          <w:rFonts w:ascii="Calibri" w:cs="Calibri" w:eastAsia="Calibri" w:hAnsi="Calibri"/>
          <w:b/>
          <w:bCs/>
          <w:sz w:val="21"/>
          <w:szCs w:val="21"/>
        </w:rPr>
        <w:t xml:space="preserve">[the amount paid / the lower of cost and fair market value]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b/>
          <w:bCs/>
          <w:sz w:val="21"/>
          <w:szCs w:val="21"/>
        </w:rPr>
        <w:t xml:space="preserve">[Where clawback applies]</w:t>
      </w:r>
      <w:r>
        <w:rPr>
          <w:rFonts w:ascii="Calibri" w:cs="Calibri" w:eastAsia="Calibri" w:hAnsi="Calibri"/>
          <w:sz w:val="21"/>
          <w:szCs w:val="21"/>
        </w:rPr>
        <w:t xml:space="preserve"> The Committee may recover Shares or their value where an Award vested on the basis of financial results later found to be materially misstated, or where the Participant is found to have committed fraud or serious misconduct in the relevant period.</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i/>
          <w:iCs/>
          <w:sz w:val="21"/>
          <w:szCs w:val="21"/>
        </w:rPr>
        <w:t xml:space="preserve">Compulsory transfer and clawback provisions are enforceable in principle but must be proportionate. A provision forfeiting long-vested shares for a minor breach is likely to be resisted and may be treated as a penalty — keep the triggers narrow and serious.</w:t>
      </w:r>
    </w:p>
    <w:p>
      <w:pPr>
        <w:keepNext/>
        <w:spacing w:after="120" w:before="280"/>
        <w:outlineLvl w:val="0"/>
      </w:pPr>
      <w:r>
        <w:rPr>
          <w:rFonts w:ascii="Calibri" w:cs="Calibri" w:eastAsia="Calibri" w:hAnsi="Calibri"/>
          <w:b/>
          <w:bCs/>
          <w:color w:val="14161B"/>
          <w:sz w:val="22"/>
          <w:szCs w:val="22"/>
        </w:rPr>
        <w:t xml:space="preserve">6. TRANSFER RESTRICTIONS AND SHAREHOLDER DOCUMENTS</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Shares delivered under the Plan are subject to the Constitution and to any shareholders’ agreement, including pre-emption on transfer, drag-along and tag-along provisions.</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A Participant shall execute a </w:t>
      </w:r>
      <w:r>
        <w:rPr>
          <w:rFonts w:ascii="Calibri" w:cs="Calibri" w:eastAsia="Calibri" w:hAnsi="Calibri"/>
          <w:b/>
          <w:bCs/>
          <w:sz w:val="21"/>
          <w:szCs w:val="21"/>
        </w:rPr>
        <w:t xml:space="preserve">deed of adherence</w:t>
      </w:r>
      <w:r>
        <w:rPr>
          <w:rFonts w:ascii="Calibri" w:cs="Calibri" w:eastAsia="Calibri" w:hAnsi="Calibri"/>
          <w:sz w:val="21"/>
          <w:szCs w:val="21"/>
        </w:rPr>
        <w:t xml:space="preserve"> before Shares are issued or transferred to them.</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b/>
          <w:bCs/>
          <w:sz w:val="21"/>
          <w:szCs w:val="21"/>
        </w:rPr>
        <w:t xml:space="preserve">[Where a lock-up applies]</w:t>
      </w:r>
      <w:r>
        <w:rPr>
          <w:rFonts w:ascii="Calibri" w:cs="Calibri" w:eastAsia="Calibri" w:hAnsi="Calibri"/>
          <w:sz w:val="21"/>
          <w:szCs w:val="21"/>
        </w:rPr>
        <w:t xml:space="preserve"> Vested Shares may not be transferred for </w:t>
      </w:r>
      <w:r>
        <w:rPr>
          <w:rFonts w:ascii="Calibri" w:cs="Calibri" w:eastAsia="Calibri" w:hAnsi="Calibri"/>
          <w:b/>
          <w:bCs/>
          <w:sz w:val="21"/>
          <w:szCs w:val="21"/>
        </w:rPr>
        <w:t xml:space="preserve">[PERIOD]</w:t>
      </w:r>
      <w:r>
        <w:rPr>
          <w:rFonts w:ascii="Calibri" w:cs="Calibri" w:eastAsia="Calibri" w:hAnsi="Calibri"/>
          <w:sz w:val="21"/>
          <w:szCs w:val="21"/>
        </w:rPr>
        <w:t xml:space="preserve"> after vesting, except with the Committee’s consent or on an exit.</w:t>
      </w:r>
    </w:p>
    <w:p>
      <w:pPr>
        <w:keepNext/>
        <w:spacing w:after="120" w:before="280"/>
        <w:outlineLvl w:val="0"/>
      </w:pPr>
      <w:r>
        <w:rPr>
          <w:rFonts w:ascii="Calibri" w:cs="Calibri" w:eastAsia="Calibri" w:hAnsi="Calibri"/>
          <w:b/>
          <w:bCs/>
          <w:color w:val="14161B"/>
          <w:sz w:val="22"/>
          <w:szCs w:val="22"/>
        </w:rPr>
        <w:t xml:space="preserve">7. EXIT</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On a change of control, the Committee shall determine whether unvested Awards accelerate, are exchanged for equivalent rights over shares in the acquirer, or are cashed out, and shall notify Participants </w:t>
      </w:r>
      <w:r>
        <w:rPr>
          <w:rFonts w:ascii="Calibri" w:cs="Calibri" w:eastAsia="Calibri" w:hAnsi="Calibri"/>
          <w:b/>
          <w:bCs/>
          <w:sz w:val="21"/>
          <w:szCs w:val="21"/>
        </w:rPr>
        <w:t xml:space="preserve">not less than </w:t>
      </w:r>
      <w:r>
        <w:rPr>
          <w:rFonts w:ascii="Calibri" w:cs="Calibri" w:eastAsia="Calibri" w:hAnsi="Calibri"/>
          <w:b/>
          <w:bCs/>
          <w:sz w:val="21"/>
          <w:szCs w:val="21"/>
        </w:rPr>
        <w:t xml:space="preserve">[14]</w:t>
      </w:r>
      <w:r>
        <w:rPr>
          <w:rFonts w:ascii="Calibri" w:cs="Calibri" w:eastAsia="Calibri" w:hAnsi="Calibri"/>
          <w:b/>
          <w:bCs/>
          <w:sz w:val="21"/>
          <w:szCs w:val="21"/>
        </w:rPr>
        <w:t xml:space="preserve"> days</w:t>
      </w:r>
      <w:r>
        <w:rPr>
          <w:rFonts w:ascii="Calibri" w:cs="Calibri" w:eastAsia="Calibri" w:hAnsi="Calibri"/>
          <w:sz w:val="21"/>
          <w:szCs w:val="21"/>
        </w:rPr>
        <w:t xml:space="preserve"> before completion.</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b/>
          <w:bCs/>
          <w:sz w:val="21"/>
          <w:szCs w:val="21"/>
        </w:rPr>
        <w:t xml:space="preserve">[Where double-trigger applies]</w:t>
      </w:r>
      <w:r>
        <w:rPr>
          <w:rFonts w:ascii="Calibri" w:cs="Calibri" w:eastAsia="Calibri" w:hAnsi="Calibri"/>
          <w:sz w:val="21"/>
          <w:szCs w:val="21"/>
        </w:rPr>
        <w:t xml:space="preserve"> Unvested Awards accelerate in full where, within </w:t>
      </w:r>
      <w:r>
        <w:rPr>
          <w:rFonts w:ascii="Calibri" w:cs="Calibri" w:eastAsia="Calibri" w:hAnsi="Calibri"/>
          <w:b/>
          <w:bCs/>
          <w:sz w:val="21"/>
          <w:szCs w:val="21"/>
        </w:rPr>
        <w:t xml:space="preserve">[12]</w:t>
      </w:r>
      <w:r>
        <w:rPr>
          <w:rFonts w:ascii="Calibri" w:cs="Calibri" w:eastAsia="Calibri" w:hAnsi="Calibri"/>
          <w:sz w:val="21"/>
          <w:szCs w:val="21"/>
        </w:rPr>
        <w:t xml:space="preserve"> months after a change of control, the Participant is terminated without cause or resigns following a material adverse change to their role or remuneration.</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Vested Shares participate in an exit on the same terms as other Shares of the same class, subject to drag-along.</w:t>
      </w:r>
    </w:p>
    <w:p>
      <w:pPr>
        <w:keepNext/>
        <w:spacing w:after="120" w:before="280"/>
        <w:outlineLvl w:val="0"/>
      </w:pPr>
      <w:r>
        <w:rPr>
          <w:rFonts w:ascii="Calibri" w:cs="Calibri" w:eastAsia="Calibri" w:hAnsi="Calibri"/>
          <w:b/>
          <w:bCs/>
          <w:color w:val="14161B"/>
          <w:sz w:val="22"/>
          <w:szCs w:val="22"/>
        </w:rPr>
        <w:t xml:space="preserve">8. TAX AND ADMINISTRATION</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The Participant is responsible for all taxes. The benefit from an Award is generally taxable </w:t>
      </w:r>
      <w:r>
        <w:rPr>
          <w:rFonts w:ascii="Calibri" w:cs="Calibri" w:eastAsia="Calibri" w:hAnsi="Calibri"/>
          <w:b/>
          <w:bCs/>
          <w:sz w:val="21"/>
          <w:szCs w:val="21"/>
        </w:rPr>
        <w:t xml:space="preserve">when the Shares vest or the restrictions lift</w:t>
      </w:r>
      <w:r>
        <w:rPr>
          <w:rFonts w:ascii="Calibri" w:cs="Calibri" w:eastAsia="Calibri" w:hAnsi="Calibri"/>
          <w:sz w:val="21"/>
          <w:szCs w:val="21"/>
        </w:rPr>
        <w:t xml:space="preserve">, by reference to the value at that time, rather than on a later sale.</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i/>
          <w:iCs/>
          <w:sz w:val="21"/>
          <w:szCs w:val="21"/>
        </w:rPr>
        <w:t xml:space="preserve">This creates a cash-flow problem the company should anticipate: a participant may owe tax on shares they cannot sell. Consider whether to permit sell-to-cover on an exit, to make a cash payment alongside vesting, or to time vesting events with liquidity.</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The Company shall report gains as required, including in the annual employment income submission and in tax clearance for departing non-citizens.</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The Company shall maintain an </w:t>
      </w:r>
      <w:r>
        <w:rPr>
          <w:rFonts w:ascii="Calibri" w:cs="Calibri" w:eastAsia="Calibri" w:hAnsi="Calibri"/>
          <w:b/>
          <w:bCs/>
          <w:sz w:val="21"/>
          <w:szCs w:val="21"/>
        </w:rPr>
        <w:t xml:space="preserve">award register</w:t>
      </w:r>
      <w:r>
        <w:rPr>
          <w:rFonts w:ascii="Calibri" w:cs="Calibri" w:eastAsia="Calibri" w:hAnsi="Calibri"/>
          <w:sz w:val="21"/>
          <w:szCs w:val="21"/>
        </w:rPr>
        <w:t xml:space="preserve"> recording every grant, vesting, forfeiture, delivery and transfer.</w:t>
      </w:r>
    </w:p>
    <w:p>
      <w:pPr>
        <w:spacing w:after="120" w:before="60" w:line="276"/>
        <w:ind w:left="720" w:hanging="720"/>
        <w:jc w:val="both"/>
      </w:pPr>
      <w:r>
        <w:rPr>
          <w:rFonts w:ascii="Calibri" w:cs="Calibri" w:eastAsia="Calibri" w:hAnsi="Calibri"/>
          <w:sz w:val="21"/>
          <w:szCs w:val="21"/>
        </w:rPr>
        <w:t xml:space="preserve">8.5	</w:t>
      </w:r>
      <w:r>
        <w:rPr>
          <w:rFonts w:ascii="Calibri" w:cs="Calibri" w:eastAsia="Calibri" w:hAnsi="Calibri"/>
          <w:sz w:val="21"/>
          <w:szCs w:val="21"/>
        </w:rPr>
        <w:t xml:space="preserve">The Plan does not form part of any contract of employment and confers no right to continued employment or to any future Award.</w:t>
      </w:r>
    </w:p>
    <w:p>
      <w:pPr>
        <w:spacing w:after="120" w:before="60" w:line="276"/>
        <w:ind w:left="720" w:hanging="720"/>
        <w:jc w:val="both"/>
      </w:pPr>
      <w:r>
        <w:rPr>
          <w:rFonts w:ascii="Calibri" w:cs="Calibri" w:eastAsia="Calibri" w:hAnsi="Calibri"/>
          <w:sz w:val="21"/>
          <w:szCs w:val="21"/>
        </w:rPr>
        <w:t xml:space="preserve">8.6	</w:t>
      </w:r>
      <w:r>
        <w:rPr>
          <w:rFonts w:ascii="Calibri" w:cs="Calibri" w:eastAsia="Calibri" w:hAnsi="Calibri"/>
          <w:sz w:val="21"/>
          <w:szCs w:val="21"/>
        </w:rPr>
        <w:t xml:space="preserve">The Plan is governed by the laws of Singapore.</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Director, for and on behalf of the Board</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tc>
      </w:tr>
    </w:tbl>
    <w:p>
      <w:pPr>
        <w:spacing w:after="60" w:before="240"/>
        <w:jc w:val="center"/>
      </w:pPr>
      <w:r>
        <w:rPr>
          <w:rFonts w:ascii="Calibri" w:cs="Calibri" w:eastAsia="Calibri" w:hAnsi="Calibri"/>
          <w:b/>
          <w:bCs/>
          <w:color w:val="14161B"/>
          <w:spacing w:val="12"/>
          <w:sz w:val="28"/>
          <w:szCs w:val="28"/>
        </w:rPr>
        <w:t xml:space="preserve">ANNEXURE</w:t>
      </w:r>
    </w:p>
    <w:p>
      <w:pPr>
        <w:spacing w:after="260"/>
        <w:jc w:val="center"/>
      </w:pPr>
      <w:r>
        <w:rPr>
          <w:rFonts w:ascii="Calibri" w:cs="Calibri" w:eastAsia="Calibri" w:hAnsi="Calibri"/>
          <w:i/>
          <w:iCs/>
          <w:color w:val="6E7480"/>
          <w:sz w:val="19"/>
          <w:szCs w:val="19"/>
        </w:rPr>
        <w:t xml:space="preserve">Award Register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
        <w:gridCol w:w="1060"/>
        <w:gridCol w:w="771"/>
        <w:gridCol w:w="771"/>
        <w:gridCol w:w="674"/>
        <w:gridCol w:w="1060"/>
        <w:gridCol w:w="1060"/>
        <w:gridCol w:w="771"/>
        <w:gridCol w:w="674"/>
        <w:gridCol w:w="771"/>
        <w:gridCol w:w="963"/>
        <w:gridCol w:w="774"/>
      </w:tblGrid>
      <w:tr>
        <w:trPr>
          <w:tblHeader/>
        </w:trPr>
        <w:tc>
          <w:tcPr>
            <w:tcW w:type="dxa" w:w="28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Participant</w:t>
            </w:r>
          </w:p>
        </w:tc>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Type</w:t>
            </w:r>
          </w:p>
        </w:tc>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Grant date</w:t>
            </w:r>
          </w:p>
        </w:tc>
        <w:tc>
          <w:tcPr>
            <w:tcW w:type="dxa" w:w="67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Shares</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Vesting schedule</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Performance condition</w:t>
            </w:r>
          </w:p>
        </w:tc>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Vested to date</w:t>
            </w:r>
          </w:p>
        </w:tc>
        <w:tc>
          <w:tcPr>
            <w:tcW w:type="dxa" w:w="67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Forfeited</w:t>
            </w:r>
          </w:p>
        </w:tc>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Delivered</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Deed of adherence</w:t>
            </w:r>
          </w:p>
        </w:tc>
        <w:tc>
          <w:tcPr>
            <w:tcW w:type="dxa" w:w="77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Reported</w:t>
            </w:r>
          </w:p>
        </w:tc>
      </w:tr>
      <w:t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[RSA / RSU / PSU]</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[SCHEDULE]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[CONDITION]</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7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r>
      <w:t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[TYPE]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[SCHEDULE]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[CONDITION]</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7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Awards solve the problem options create</w:t>
      </w:r>
    </w:p>
    <w:p>
      <w:pPr>
        <w:spacing w:after="60" w:line="264"/>
        <w:jc w:val="both"/>
      </w:pPr>
      <w:r>
        <w:rPr>
          <w:rFonts w:ascii="Calibri" w:cs="Calibri" w:eastAsia="Calibri" w:hAnsi="Calibri"/>
          <w:sz w:val="19"/>
          <w:szCs w:val="19"/>
        </w:rPr>
        <w:t xml:space="preserve">The recurring failure of option schemes in private companies is that leavers cannot fund the exercise price for shares with no market, so options earned over years simply lapse. An award granted for no consideration removes that entirely. Where retention rather than upside incentive is the goal, an award is usually the better instrument.</w:t>
      </w:r>
    </w:p>
    <w:p>
      <w:pPr>
        <w:keepNext/>
        <w:spacing w:after="40" w:before="140"/>
      </w:pPr>
      <w:r>
        <w:rPr>
          <w:rFonts w:ascii="Calibri" w:cs="Calibri" w:eastAsia="Calibri" w:hAnsi="Calibri"/>
          <w:b/>
          <w:bCs/>
          <w:color w:val="14161B"/>
          <w:sz w:val="20"/>
          <w:szCs w:val="20"/>
        </w:rPr>
        <w:t xml:space="preserve">The tax point moves earlier</w:t>
      </w:r>
    </w:p>
    <w:p>
      <w:pPr>
        <w:spacing w:after="60" w:line="264"/>
        <w:jc w:val="both"/>
      </w:pPr>
      <w:r>
        <w:rPr>
          <w:rFonts w:ascii="Calibri" w:cs="Calibri" w:eastAsia="Calibri" w:hAnsi="Calibri"/>
          <w:sz w:val="19"/>
          <w:szCs w:val="19"/>
        </w:rPr>
        <w:t xml:space="preserve">With an option, the employee generally controls when tax arises by choosing when to exercise. With an award, the benefit generally arises when the shares vest or restrictions lift, whether or not the employee wants it to. That is a real difference and participants should understand it before accepting.</w:t>
      </w:r>
    </w:p>
    <w:p>
      <w:pPr>
        <w:keepNext/>
        <w:spacing w:after="40" w:before="140"/>
      </w:pPr>
      <w:r>
        <w:rPr>
          <w:rFonts w:ascii="Calibri" w:cs="Calibri" w:eastAsia="Calibri" w:hAnsi="Calibri"/>
          <w:b/>
          <w:bCs/>
          <w:color w:val="14161B"/>
          <w:sz w:val="20"/>
          <w:szCs w:val="20"/>
        </w:rPr>
        <w:t xml:space="preserve">Anticipate the dry tax charge</w:t>
      </w:r>
    </w:p>
    <w:p>
      <w:pPr>
        <w:spacing w:after="60" w:line="264"/>
        <w:jc w:val="both"/>
      </w:pPr>
      <w:r>
        <w:rPr>
          <w:rFonts w:ascii="Calibri" w:cs="Calibri" w:eastAsia="Calibri" w:hAnsi="Calibri"/>
          <w:sz w:val="19"/>
          <w:szCs w:val="19"/>
        </w:rPr>
        <w:t xml:space="preserve">A participant taxed on vesting may hold shares they cannot sell and owe tax they must fund from salary. Rule 8.2 flags the options: sell-to-cover on an exit, a cash payment alongside vesting, or timing vesting with liquidity events. Ignoring it produces a benefit the employee experiences as a bill.</w:t>
      </w:r>
    </w:p>
    <w:p>
      <w:pPr>
        <w:keepNext/>
        <w:spacing w:after="40" w:before="140"/>
      </w:pPr>
      <w:r>
        <w:rPr>
          <w:rFonts w:ascii="Calibri" w:cs="Calibri" w:eastAsia="Calibri" w:hAnsi="Calibri"/>
          <w:b/>
          <w:bCs/>
          <w:color w:val="14161B"/>
          <w:sz w:val="20"/>
          <w:szCs w:val="20"/>
        </w:rPr>
        <w:t xml:space="preserve">Restricted shares versus units</w:t>
      </w:r>
    </w:p>
    <w:p>
      <w:pPr>
        <w:spacing w:after="60" w:line="264"/>
        <w:jc w:val="both"/>
      </w:pPr>
      <w:r>
        <w:rPr>
          <w:rFonts w:ascii="Calibri" w:cs="Calibri" w:eastAsia="Calibri" w:hAnsi="Calibri"/>
          <w:sz w:val="19"/>
          <w:szCs w:val="19"/>
        </w:rPr>
        <w:t xml:space="preserve">Issuing restricted shares upfront makes the participant a shareholder immediately, with voting and dividend questions to settle, and adds them to the member count. Units defer all of that until delivery and are simpler to administer for a broad-based plan. Choose deliberately — Rule 3.4 and 3.5 handle each.</w:t>
      </w:r>
    </w:p>
    <w:p>
      <w:pPr>
        <w:keepNext/>
        <w:spacing w:after="40" w:before="140"/>
      </w:pPr>
      <w:r>
        <w:rPr>
          <w:rFonts w:ascii="Calibri" w:cs="Calibri" w:eastAsia="Calibri" w:hAnsi="Calibri"/>
          <w:b/>
          <w:bCs/>
          <w:color w:val="14161B"/>
          <w:sz w:val="20"/>
          <w:szCs w:val="20"/>
        </w:rPr>
        <w:t xml:space="preserve">Decide the dividend and voting position</w:t>
      </w:r>
    </w:p>
    <w:p>
      <w:pPr>
        <w:spacing w:after="60" w:line="264"/>
        <w:jc w:val="both"/>
      </w:pPr>
      <w:r>
        <w:rPr>
          <w:rFonts w:ascii="Calibri" w:cs="Calibri" w:eastAsia="Calibri" w:hAnsi="Calibri"/>
          <w:sz w:val="19"/>
          <w:szCs w:val="19"/>
        </w:rPr>
        <w:t xml:space="preserve">Where restricted shares are issued, whether the participant votes them and receives dividends before vesting are real questions with real consequences — particularly on voting, where a broad plan can fragment control. Rule 3.4 requires both to be specified rather than left to argument.</w:t>
      </w:r>
    </w:p>
    <w:p>
      <w:pPr>
        <w:keepNext/>
        <w:spacing w:after="40" w:before="140"/>
      </w:pPr>
      <w:r>
        <w:rPr>
          <w:rFonts w:ascii="Calibri" w:cs="Calibri" w:eastAsia="Calibri" w:hAnsi="Calibri"/>
          <w:b/>
          <w:bCs/>
          <w:color w:val="14161B"/>
          <w:sz w:val="20"/>
          <w:szCs w:val="20"/>
        </w:rPr>
        <w:t xml:space="preserve">Keep clawback narrow</w:t>
      </w:r>
    </w:p>
    <w:p>
      <w:pPr>
        <w:spacing w:after="60" w:line="264"/>
        <w:jc w:val="both"/>
      </w:pPr>
      <w:r>
        <w:rPr>
          <w:rFonts w:ascii="Calibri" w:cs="Calibri" w:eastAsia="Calibri" w:hAnsi="Calibri"/>
          <w:sz w:val="19"/>
          <w:szCs w:val="19"/>
        </w:rPr>
        <w:t xml:space="preserve">Compulsory transfer and clawback are enforceable in principle but a provision forfeiting long-vested shares for a minor breach invites a penalty argument and, practically, a dispute the company may not want. Confine the triggers to termination for cause, serious covenant breach, fraud and material misstatement.</w:t>
      </w:r>
    </w:p>
    <w:p>
      <w:pPr>
        <w:keepNext/>
        <w:spacing w:after="40" w:before="140"/>
      </w:pPr>
      <w:r>
        <w:rPr>
          <w:rFonts w:ascii="Calibri" w:cs="Calibri" w:eastAsia="Calibri" w:hAnsi="Calibri"/>
          <w:b/>
          <w:bCs/>
          <w:color w:val="14161B"/>
          <w:sz w:val="20"/>
          <w:szCs w:val="20"/>
        </w:rPr>
        <w:t xml:space="preserve">Keep vesting running during family leave</w:t>
      </w:r>
    </w:p>
    <w:p>
      <w:pPr>
        <w:spacing w:after="60" w:line="264"/>
        <w:jc w:val="both"/>
      </w:pPr>
      <w:r>
        <w:rPr>
          <w:rFonts w:ascii="Calibri" w:cs="Calibri" w:eastAsia="Calibri" w:hAnsi="Calibri"/>
          <w:sz w:val="19"/>
          <w:szCs w:val="19"/>
        </w:rPr>
        <w:t xml:space="preserve">Suspending vesting during maternity, paternity, shared parental or medical leave disadvantages employees on protected grounds and will be difficult to defend once the Workplace Fairness Act commences. Rule 3.3 keeps it running.</w:t>
      </w:r>
    </w:p>
    <w:p>
      <w:pPr>
        <w:keepNext/>
        <w:spacing w:after="40" w:before="140"/>
      </w:pPr>
      <w:r>
        <w:rPr>
          <w:rFonts w:ascii="Calibri" w:cs="Calibri" w:eastAsia="Calibri" w:hAnsi="Calibri"/>
          <w:b/>
          <w:bCs/>
          <w:color w:val="14161B"/>
          <w:sz w:val="20"/>
          <w:szCs w:val="20"/>
        </w:rPr>
        <w:t xml:space="preserve">Pro-rate for good leavers</w:t>
      </w:r>
    </w:p>
    <w:p>
      <w:pPr>
        <w:spacing w:after="60" w:line="264"/>
        <w:jc w:val="both"/>
      </w:pPr>
      <w:r>
        <w:rPr>
          <w:rFonts w:ascii="Calibri" w:cs="Calibri" w:eastAsia="Calibri" w:hAnsi="Calibri"/>
          <w:sz w:val="19"/>
          <w:szCs w:val="19"/>
        </w:rPr>
        <w:t xml:space="preserve">Forfeiting all unvested awards on redundancy, where the employee did nothing wrong and served most of a vesting period, is harsh and is the treatment most likely to generate resentment among the people who remain. Pro-rating for time served costs little and is visible internally.</w:t>
      </w:r>
    </w:p>
    <w:p>
      <w:pPr>
        <w:keepNext/>
        <w:spacing w:after="40" w:before="140"/>
      </w:pPr>
      <w:r>
        <w:rPr>
          <w:rFonts w:ascii="Calibri" w:cs="Calibri" w:eastAsia="Calibri" w:hAnsi="Calibri"/>
          <w:b/>
          <w:bCs/>
          <w:color w:val="14161B"/>
          <w:sz w:val="20"/>
          <w:szCs w:val="20"/>
        </w:rPr>
        <w:t xml:space="preserve">Deed of adherence before delivery</w:t>
      </w:r>
    </w:p>
    <w:p>
      <w:pPr>
        <w:spacing w:after="60" w:line="264"/>
        <w:jc w:val="both"/>
      </w:pPr>
      <w:r>
        <w:rPr>
          <w:rFonts w:ascii="Calibri" w:cs="Calibri" w:eastAsia="Calibri" w:hAnsi="Calibri"/>
          <w:sz w:val="19"/>
          <w:szCs w:val="19"/>
        </w:rPr>
        <w:t xml:space="preserve">A participant receiving shares who has not acceded to the shareholders’ agreement is not bound by transfer restrictions, drag-along or information provisions. Execute the adherence before issue, not as a follow-up that never closes.</w:t>
      </w:r>
    </w:p>
    <w:p>
      <w:pPr>
        <w:keepNext/>
        <w:spacing w:after="40" w:before="140"/>
      </w:pPr>
      <w:r>
        <w:rPr>
          <w:rFonts w:ascii="Calibri" w:cs="Calibri" w:eastAsia="Calibri" w:hAnsi="Calibri"/>
          <w:b/>
          <w:bCs/>
          <w:color w:val="14161B"/>
          <w:sz w:val="20"/>
          <w:szCs w:val="20"/>
        </w:rPr>
        <w:t xml:space="preserve">Every delivery is an allotment or transfer</w:t>
      </w:r>
    </w:p>
    <w:p>
      <w:pPr>
        <w:spacing w:after="60" w:line="264"/>
        <w:jc w:val="both"/>
      </w:pPr>
      <w:r>
        <w:rPr>
          <w:rFonts w:ascii="Calibri" w:cs="Calibri" w:eastAsia="Calibri" w:hAnsi="Calibri"/>
          <w:sz w:val="19"/>
          <w:szCs w:val="19"/>
        </w:rPr>
        <w:t xml:space="preserve">Shares issued on vesting require a board resolution, entry in the register, a return of allotment within fourteen days and a certificate. Where shares come from a trust or an existing holder, a stamped transfer is needed instead. Companies treat vesting as automatic and skip the corporate steps.</w:t>
      </w:r>
    </w:p>
    <w:p>
      <w:pPr>
        <w:keepNext/>
        <w:spacing w:after="40" w:before="140"/>
      </w:pPr>
      <w:r>
        <w:rPr>
          <w:rFonts w:ascii="Calibri" w:cs="Calibri" w:eastAsia="Calibri" w:hAnsi="Calibri"/>
          <w:b/>
          <w:bCs/>
          <w:color w:val="14161B"/>
          <w:sz w:val="20"/>
          <w:szCs w:val="20"/>
        </w:rPr>
        <w:t xml:space="preserve">Watch the member count</w:t>
      </w:r>
    </w:p>
    <w:p>
      <w:pPr>
        <w:spacing w:after="60" w:line="264"/>
        <w:jc w:val="both"/>
      </w:pPr>
      <w:r>
        <w:rPr>
          <w:rFonts w:ascii="Calibri" w:cs="Calibri" w:eastAsia="Calibri" w:hAnsi="Calibri"/>
          <w:sz w:val="19"/>
          <w:szCs w:val="19"/>
        </w:rPr>
        <w:t xml:space="preserve">A private company is limited to fifty members, excluding employees and former employees who acquired shares while employed and continue to hold them. Issuing restricted shares upfront to a broad population brings that limit closer than a unit plan would.</w:t>
      </w:r>
    </w:p>
    <w:p>
      <w:pPr>
        <w:keepNext/>
        <w:spacing w:after="40" w:before="140"/>
      </w:pPr>
      <w:r>
        <w:rPr>
          <w:rFonts w:ascii="Calibri" w:cs="Calibri" w:eastAsia="Calibri" w:hAnsi="Calibri"/>
          <w:b/>
          <w:bCs/>
          <w:color w:val="14161B"/>
          <w:sz w:val="20"/>
          <w:szCs w:val="20"/>
        </w:rPr>
        <w:t xml:space="preserve">Departing non-citizens still need care</w:t>
      </w:r>
    </w:p>
    <w:p>
      <w:pPr>
        <w:spacing w:after="60" w:line="264"/>
        <w:jc w:val="both"/>
      </w:pPr>
      <w:r>
        <w:rPr>
          <w:rFonts w:ascii="Calibri" w:cs="Calibri" w:eastAsia="Calibri" w:hAnsi="Calibri"/>
          <w:sz w:val="19"/>
          <w:szCs w:val="19"/>
        </w:rPr>
        <w:t xml:space="preserve">While the deemed exercise rule is an option concept, a departing non-citizen with unvested awards still requires the position to be worked through in tax clearance, and the employer must withhold pending the directive. Identify equity holdings at the point of resignation, not on the last day.</w:t>
      </w:r>
    </w:p>
    <w:p>
      <w:pPr>
        <w:keepNext/>
        <w:spacing w:after="40" w:before="140"/>
      </w:pPr>
      <w:r>
        <w:rPr>
          <w:rFonts w:ascii="Calibri" w:cs="Calibri" w:eastAsia="Calibri" w:hAnsi="Calibri"/>
          <w:b/>
          <w:bCs/>
          <w:color w:val="14161B"/>
          <w:sz w:val="20"/>
          <w:szCs w:val="20"/>
        </w:rPr>
        <w:t xml:space="preserve">Report the gains</w:t>
      </w:r>
    </w:p>
    <w:p>
      <w:pPr>
        <w:spacing w:after="60" w:line="264"/>
        <w:jc w:val="both"/>
      </w:pPr>
      <w:r>
        <w:rPr>
          <w:rFonts w:ascii="Calibri" w:cs="Calibri" w:eastAsia="Calibri" w:hAnsi="Calibri"/>
          <w:sz w:val="19"/>
          <w:szCs w:val="19"/>
        </w:rPr>
        <w:t xml:space="preserve">Award gains form part of employment income reporting and must be included in the annual submission with the appropriate appendix. The award register is the source; a plan run informally cannot produce it and the gap surfaces at year end.</w:t>
      </w:r>
    </w:p>
    <w:p>
      <w:pPr>
        <w:keepNext/>
        <w:spacing w:after="40" w:before="140"/>
      </w:pPr>
      <w:r>
        <w:rPr>
          <w:rFonts w:ascii="Calibri" w:cs="Calibri" w:eastAsia="Calibri" w:hAnsi="Calibri"/>
          <w:b/>
          <w:bCs/>
          <w:color w:val="14161B"/>
          <w:sz w:val="20"/>
          <w:szCs w:val="20"/>
        </w:rPr>
        <w:t xml:space="preserve">Explain it in plain language</w:t>
      </w:r>
    </w:p>
    <w:p>
      <w:pPr>
        <w:spacing w:after="60" w:line="264"/>
        <w:jc w:val="both"/>
      </w:pPr>
      <w:r>
        <w:rPr>
          <w:rFonts w:ascii="Calibri" w:cs="Calibri" w:eastAsia="Calibri" w:hAnsi="Calibri"/>
          <w:sz w:val="19"/>
          <w:szCs w:val="19"/>
        </w:rPr>
        <w:t xml:space="preserve">Participants confuse awards with options, overestimate value, and rarely anticipate the tax point. A one-page summary with the award letter — what vests when, what happens if they leave, when tax arises and roughly how much — does more for retention than the award itself.</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tax treatment of share awards, valuation and reporting requirements, and the interaction with tax clearance all change — have the plan reviewed by a corporate lawyer and a tax adviser before adoption, and confirm the treatment of any unusual structure.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2026-08-22T06:55:30.573Z</dcterms:created>
  <dcterms:modified xsi:type="dcterms:W3CDTF">2026-08-22T06:55:30.573Z</dcterms:modified>
</cp:coreProperties>
</file>

<file path=docProps/custom.xml><?xml version="1.0" encoding="utf-8"?>
<Properties xmlns="http://schemas.openxmlformats.org/officeDocument/2006/custom-properties" xmlns:vt="http://schemas.openxmlformats.org/officeDocument/2006/docPropsVTypes"/>
</file>