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ALLOTMENT AND ISSUE OF SHARES</w:t>
      </w:r>
    </w:p>
    <w:p>
      <w:pPr>
        <w:spacing w:after="260"/>
        <w:jc w:val="center"/>
      </w:pPr>
      <w:r>
        <w:rPr>
          <w:rFonts w:ascii="Calibri" w:cs="Calibri" w:eastAsia="Calibri" w:hAnsi="Calibri"/>
          <w:i/>
          <w:iCs/>
          <w:color w:val="6E7480"/>
          <w:sz w:val="19"/>
          <w:szCs w:val="19"/>
        </w:rPr>
        <w:t xml:space="preserve">Resolutions, return of allotment and share certificates</w:t>
      </w:r>
    </w:p>
    <w:p>
      <w:pPr>
        <w:spacing w:after="180" w:before="0" w:line="276"/>
        <w:jc w:val="both"/>
      </w:pPr>
      <w:r>
        <w:rPr>
          <w:rFonts w:ascii="Calibri" w:cs="Calibri" w:eastAsia="Calibri" w:hAnsi="Calibri"/>
          <w:i/>
          <w:iCs/>
          <w:color w:val="6E7480"/>
          <w:sz w:val="21"/>
          <w:szCs w:val="21"/>
        </w:rPr>
        <w:t xml:space="preserve">Shares in Singapore have </w:t>
      </w:r>
      <w:r>
        <w:rPr>
          <w:rFonts w:ascii="Calibri" w:cs="Calibri" w:eastAsia="Calibri" w:hAnsi="Calibri"/>
          <w:b/>
          <w:bCs/>
          <w:i/>
          <w:iCs/>
          <w:color w:val="6E7480"/>
          <w:sz w:val="21"/>
          <w:szCs w:val="21"/>
        </w:rPr>
        <w:t xml:space="preserve">no par value</w:t>
      </w:r>
      <w:r>
        <w:rPr>
          <w:rFonts w:ascii="Calibri" w:cs="Calibri" w:eastAsia="Calibri" w:hAnsi="Calibri"/>
          <w:i/>
          <w:iCs/>
          <w:color w:val="6E7480"/>
          <w:sz w:val="21"/>
          <w:szCs w:val="21"/>
        </w:rPr>
        <w:t xml:space="preserve">, and for a private company the electronic register of members maintained by the Registrar is prima facie evidence of legal title. An allotment resolved internally but never filed leaves the allottee off the register that actually matters. The return of allotment is due within </w:t>
      </w:r>
      <w:r>
        <w:rPr>
          <w:rFonts w:ascii="Calibri" w:cs="Calibri" w:eastAsia="Calibri" w:hAnsi="Calibri"/>
          <w:b/>
          <w:bCs/>
          <w:i/>
          <w:iCs/>
          <w:color w:val="6E7480"/>
          <w:sz w:val="21"/>
          <w:szCs w:val="21"/>
        </w:rPr>
        <w:t xml:space="preserve">fourteen days</w:t>
      </w:r>
      <w:r>
        <w:rPr>
          <w:rFonts w:ascii="Calibri" w:cs="Calibri" w:eastAsia="Calibri" w:hAnsi="Calibri"/>
          <w:i/>
          <w:iCs/>
          <w:color w:val="6E7480"/>
          <w:sz w:val="21"/>
          <w:szCs w:val="21"/>
        </w:rPr>
        <w:t xml:space="preserv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Allottee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[NRIC / FIN / registration number]</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Number of shares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Class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[Ordinary / Preference — series]</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Consideration per share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r>
              <w:rPr>
                <w:rFonts w:ascii="Calibri" w:cs="Calibri" w:eastAsia="Calibri" w:hAnsi="Calibri"/>
                <w:sz w:val="19"/>
                <w:szCs w:val="19"/>
              </w:rPr>
              <w:t xml:space="preserve"> </w:t>
            </w:r>
            <w:r>
              <w:rPr>
                <w:rFonts w:ascii="Calibri" w:cs="Calibri" w:eastAsia="Calibri" w:hAnsi="Calibri"/>
                <w:i/>
                <w:iCs/>
                <w:sz w:val="19"/>
                <w:szCs w:val="19"/>
              </w:rPr>
              <w:t xml:space="preserve">(no par value — this is simply the price)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Total consideration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Form of consideration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[Cash / Non-cash — describe / Conversion of a convertible instrument]</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Consideration received 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allotment</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Return of allotment due by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within 14 days of allotment</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Pre-emption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[Complied with / Waived by ______ on ______ / Not applicable]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Issued shares before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  after: </w:t>
            </w:r>
            <w:r>
              <w:rPr>
                <w:rFonts w:ascii="Calibri" w:cs="Calibri" w:eastAsia="Calibri" w:hAnsi="Calibri"/>
                <w:b/>
                <w:bCs/>
                <w:sz w:val="19"/>
                <w:szCs w:val="19"/>
              </w:rPr>
              <w:t xml:space="preserve">[NUMBER]</w:t>
            </w:r>
          </w:p>
        </w:tc>
      </w:tr>
    </w:tbl>
    <w:p>
      <w:pPr>
        <w:spacing w:after="180"/>
      </w:pPr>
    </w:p>
    <w:p>
      <w:pPr>
        <w:keepNext/>
        <w:spacing w:after="120" w:before="280"/>
        <w:outlineLvl w:val="0"/>
      </w:pPr>
      <w:r>
        <w:rPr>
          <w:rFonts w:ascii="Calibri" w:cs="Calibri" w:eastAsia="Calibri" w:hAnsi="Calibri"/>
          <w:b/>
          <w:bCs/>
          <w:color w:val="14161B"/>
          <w:sz w:val="22"/>
          <w:szCs w:val="22"/>
        </w:rPr>
        <w:t xml:space="preserve">1. BEFORE ALLOTTING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Check</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constitution and any shareholders’ agreement permit the allotment on these terms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Directors have authority to allot, or members’ approval has been obtained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Pre-emption rights</w:t>
            </w:r>
            <w:r>
              <w:rPr>
                <w:rFonts w:ascii="Calibri" w:cs="Calibri" w:eastAsia="Calibri" w:hAnsi="Calibri"/>
                <w:sz w:val="18"/>
                <w:szCs w:val="18"/>
              </w:rPr>
              <w:t xml:space="preserve"> complied with or validly waived in writing</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 consent or veto right in the shareholders’ agreement obtained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class rights are established — in the constitution, not only in a term sheet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50-member limit for a private company will not be exceeded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 invitation to the public has been made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Consideration received, or the terms for payment agreed and recorded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non-cash: the consideration described and valued, and the basis recorded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Anti-dilution or conversion adjustments computed and agreed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Cap table updated and checked against the register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Whether the allottee becomes a </w:t>
            </w:r>
            <w:r>
              <w:rPr>
                <w:rFonts w:ascii="Calibri" w:cs="Calibri" w:eastAsia="Calibri" w:hAnsi="Calibri"/>
                <w:b/>
                <w:bCs/>
                <w:sz w:val="18"/>
                <w:szCs w:val="18"/>
              </w:rPr>
              <w:t xml:space="preserve">registrable controller</w:t>
            </w:r>
            <w:r>
              <w:rPr>
                <w:rFonts w:ascii="Calibri" w:cs="Calibri" w:eastAsia="Calibri" w:hAnsi="Calibri"/>
                <w:sz w:val="18"/>
                <w:szCs w:val="18"/>
              </w:rPr>
              <w:t xml:space="preserve"> assessed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Whether the allottee is a </w:t>
            </w:r>
            <w:r>
              <w:rPr>
                <w:rFonts w:ascii="Calibri" w:cs="Calibri" w:eastAsia="Calibri" w:hAnsi="Calibri"/>
                <w:b/>
                <w:bCs/>
                <w:sz w:val="18"/>
                <w:szCs w:val="18"/>
              </w:rPr>
              <w:t xml:space="preserve">nominee shareholder</w:t>
            </w:r>
            <w:r>
              <w:rPr>
                <w:rFonts w:ascii="Calibri" w:cs="Calibri" w:eastAsia="Calibri" w:hAnsi="Calibri"/>
                <w:sz w:val="18"/>
                <w:szCs w:val="18"/>
              </w:rPr>
              <w:t xml:space="preserve"> established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ESOP pool impact considered where the allotment dilutes it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spacing w:after="160"/>
      </w:pPr>
    </w:p>
    <w:p>
      <w:pPr>
        <w:keepNext/>
        <w:spacing w:after="120" w:before="280"/>
        <w:outlineLvl w:val="0"/>
      </w:pPr>
      <w:r>
        <w:rPr>
          <w:rFonts w:ascii="Calibri" w:cs="Calibri" w:eastAsia="Calibri" w:hAnsi="Calibri"/>
          <w:b/>
          <w:bCs/>
          <w:color w:val="14161B"/>
          <w:sz w:val="22"/>
          <w:szCs w:val="22"/>
        </w:rPr>
        <w:t xml:space="preserve">2. RESOLUTION</w:t>
      </w:r>
    </w:p>
    <w:p>
      <w:pPr>
        <w:spacing w:after="120" w:before="0" w:line="276"/>
        <w:jc w:val="both"/>
      </w:pPr>
      <w:r>
        <w:rPr>
          <w:rFonts w:ascii="Calibri" w:cs="Calibri" w:eastAsia="Calibri" w:hAnsi="Calibri"/>
          <w:b/>
          <w:bCs/>
          <w:sz w:val="21"/>
          <w:szCs w:val="21"/>
        </w:rPr>
        <w:t xml:space="preserve">IT WAS NOTED</w:t>
      </w:r>
      <w:r>
        <w:rPr>
          <w:rFonts w:ascii="Calibri" w:cs="Calibri" w:eastAsia="Calibri" w:hAnsi="Calibri"/>
          <w:sz w:val="21"/>
          <w:szCs w:val="21"/>
        </w:rPr>
        <w:t xml:space="preserve"> that </w:t>
      </w:r>
      <w:r>
        <w:rPr>
          <w:rFonts w:ascii="Calibri" w:cs="Calibri" w:eastAsia="Calibri" w:hAnsi="Calibri"/>
          <w:b/>
          <w:bCs/>
          <w:sz w:val="21"/>
          <w:szCs w:val="21"/>
        </w:rPr>
        <w:t xml:space="preserve">[SET OUT THE BACKGROUND — the subscription agreement, the conversion event, the exercise of options, or the reason for the issue]</w:t>
      </w:r>
      <w:r>
        <w:rPr>
          <w:rFonts w:ascii="Calibri" w:cs="Calibri" w:eastAsia="Calibri" w:hAnsi="Calibri"/>
          <w:sz w:val="21"/>
          <w:szCs w:val="21"/>
        </w:rPr>
        <w:t xml:space="preserve">, and that </w:t>
      </w:r>
      <w:r>
        <w:rPr>
          <w:rFonts w:ascii="Calibri" w:cs="Calibri" w:eastAsia="Calibri" w:hAnsi="Calibri"/>
          <w:b/>
          <w:bCs/>
          <w:sz w:val="21"/>
          <w:szCs w:val="21"/>
        </w:rPr>
        <w:t xml:space="preserve">[pre-emption rights have been complied with / waivers have been received from ______]</w:t>
      </w:r>
      <w:r>
        <w:rPr>
          <w:rFonts w:ascii="Calibri" w:cs="Calibri" w:eastAsia="Calibri" w:hAnsi="Calibri"/>
          <w:sz w:val="21"/>
          <w:szCs w:val="21"/>
        </w:rPr>
        <w:t xml:space="preserve">.</w:t>
      </w:r>
    </w:p>
    <w:p>
      <w:pPr>
        <w:spacing w:after="80" w:before="0" w:line="276"/>
        <w:jc w:val="both"/>
      </w:pPr>
      <w:r>
        <w:rPr>
          <w:rFonts w:ascii="Calibri" w:cs="Calibri" w:eastAsia="Calibri" w:hAnsi="Calibri"/>
          <w:b/>
          <w:bCs/>
          <w:sz w:val="21"/>
          <w:szCs w:val="21"/>
        </w:rPr>
        <w:t xml:space="preserve">IT WAS RESOLVED THAT</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b/>
          <w:bCs/>
          <w:sz w:val="21"/>
          <w:szCs w:val="21"/>
        </w:rPr>
        <w:t xml:space="preserve">[NUMBER]</w:t>
      </w:r>
      <w:r>
        <w:rPr>
          <w:rFonts w:ascii="Calibri" w:cs="Calibri" w:eastAsia="Calibri" w:hAnsi="Calibri"/>
          <w:sz w:val="21"/>
          <w:szCs w:val="21"/>
        </w:rPr>
        <w:t xml:space="preserve"> </w:t>
      </w:r>
      <w:r>
        <w:rPr>
          <w:rFonts w:ascii="Calibri" w:cs="Calibri" w:eastAsia="Calibri" w:hAnsi="Calibri"/>
          <w:b/>
          <w:bCs/>
          <w:sz w:val="21"/>
          <w:szCs w:val="21"/>
        </w:rPr>
        <w:t xml:space="preserve">[CLASS]</w:t>
      </w:r>
      <w:r>
        <w:rPr>
          <w:rFonts w:ascii="Calibri" w:cs="Calibri" w:eastAsia="Calibri" w:hAnsi="Calibri"/>
          <w:sz w:val="21"/>
          <w:szCs w:val="21"/>
        </w:rPr>
        <w:t xml:space="preserve"> shares in the capital of the Company be and are hereby allotted and issued to </w:t>
      </w:r>
      <w:r>
        <w:rPr>
          <w:rFonts w:ascii="Calibri" w:cs="Calibri" w:eastAsia="Calibri" w:hAnsi="Calibri"/>
          <w:b/>
          <w:bCs/>
          <w:sz w:val="21"/>
          <w:szCs w:val="21"/>
        </w:rPr>
        <w:t xml:space="preserve">[NAME]</w:t>
      </w:r>
      <w:r>
        <w:rPr>
          <w:rFonts w:ascii="Calibri" w:cs="Calibri" w:eastAsia="Calibri" w:hAnsi="Calibri"/>
          <w:sz w:val="21"/>
          <w:szCs w:val="21"/>
        </w:rPr>
        <w:t xml:space="preserve"> of </w:t>
      </w:r>
      <w:r>
        <w:rPr>
          <w:rFonts w:ascii="Calibri" w:cs="Calibri" w:eastAsia="Calibri" w:hAnsi="Calibri"/>
          <w:b/>
          <w:bCs/>
          <w:sz w:val="21"/>
          <w:szCs w:val="21"/>
        </w:rPr>
        <w:t xml:space="preserve">[ADDRESS]</w:t>
      </w:r>
      <w:r>
        <w:rPr>
          <w:rFonts w:ascii="Calibri" w:cs="Calibri" w:eastAsia="Calibri" w:hAnsi="Calibri"/>
          <w:sz w:val="21"/>
          <w:szCs w:val="21"/>
        </w:rPr>
        <w:t xml:space="preserve">, at a consideration of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per share, being a total consideration of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w:t>
      </w:r>
      <w:r>
        <w:rPr>
          <w:rFonts w:ascii="Calibri" w:cs="Calibri" w:eastAsia="Calibri" w:hAnsi="Calibri"/>
          <w:b/>
          <w:bCs/>
          <w:sz w:val="21"/>
          <w:szCs w:val="21"/>
        </w:rPr>
        <w:t xml:space="preserve">[payable in cash and received on ______ / satisfied by ______]</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shares so allotted rank </w:t>
      </w:r>
      <w:r>
        <w:rPr>
          <w:rFonts w:ascii="Calibri" w:cs="Calibri" w:eastAsia="Calibri" w:hAnsi="Calibri"/>
          <w:b/>
          <w:bCs/>
          <w:sz w:val="21"/>
          <w:szCs w:val="21"/>
        </w:rPr>
        <w:t xml:space="preserve">[pari passu with the existing shares of that class / with the rights set out in the constitution as amended]</w:t>
      </w:r>
      <w:r>
        <w:rPr>
          <w:rFonts w:ascii="Calibri" w:cs="Calibri" w:eastAsia="Calibri" w:hAnsi="Calibri"/>
          <w:sz w:val="21"/>
          <w:szCs w:val="21"/>
        </w:rPr>
        <w:t xml:space="preserve"> and </w:t>
      </w:r>
      <w:r>
        <w:rPr>
          <w:rFonts w:ascii="Calibri" w:cs="Calibri" w:eastAsia="Calibri" w:hAnsi="Calibri"/>
          <w:b/>
          <w:bCs/>
          <w:sz w:val="21"/>
          <w:szCs w:val="21"/>
        </w:rPr>
        <w:t xml:space="preserve">[are / are not]</w:t>
      </w:r>
      <w:r>
        <w:rPr>
          <w:rFonts w:ascii="Calibri" w:cs="Calibri" w:eastAsia="Calibri" w:hAnsi="Calibri"/>
          <w:sz w:val="21"/>
          <w:szCs w:val="21"/>
        </w:rPr>
        <w:t xml:space="preserve"> entitled to any dividend declared before the date of allotment;</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name of the allottee be entered in the register of members;</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a share certificate be issued to the allottee within the period required;</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the </w:t>
      </w:r>
      <w:r>
        <w:rPr>
          <w:rFonts w:ascii="Calibri" w:cs="Calibri" w:eastAsia="Calibri" w:hAnsi="Calibri"/>
          <w:b/>
          <w:bCs/>
          <w:sz w:val="21"/>
          <w:szCs w:val="21"/>
        </w:rPr>
        <w:t xml:space="preserve">return of allotment be lodged with the Registrar within fourteen days</w:t>
      </w:r>
      <w:r>
        <w:rPr>
          <w:rFonts w:ascii="Calibri" w:cs="Calibri" w:eastAsia="Calibri" w:hAnsi="Calibri"/>
          <w:sz w:val="21"/>
          <w:szCs w:val="21"/>
        </w:rPr>
        <w:t xml:space="preserve"> of the date of allotment;</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the registers of registrable controllers and, where applicable, nominee shareholders be reviewed and updated; and</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any director or the company secretary be authorised to do all such acts and execute all such documents as may be necessary to give effect to this resolution.</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Share Certificate</w:t>
      </w:r>
    </w:p>
    <w:p>
      <w:pPr>
        <w:spacing w:after="40" w:before="0" w:line="276"/>
        <w:jc w:val="center"/>
      </w:pPr>
      <w:r>
        <w:rPr>
          <w:rFonts w:ascii="Calibri" w:cs="Calibri" w:eastAsia="Calibri" w:hAnsi="Calibri"/>
          <w:b/>
          <w:bCs/>
          <w:sz w:val="21"/>
          <w:szCs w:val="21"/>
        </w:rPr>
        <w:t xml:space="preserve">[COMPANY NAME]</w:t>
      </w:r>
    </w:p>
    <w:p>
      <w:pPr>
        <w:spacing w:after="140" w:before="0" w:line="276"/>
        <w:jc w:val="center"/>
      </w:pPr>
      <w:r>
        <w:rPr>
          <w:rFonts w:ascii="Calibri" w:cs="Calibri" w:eastAsia="Calibri" w:hAnsi="Calibri"/>
          <w:sz w:val="21"/>
          <w:szCs w:val="21"/>
        </w:rPr>
        <w:t xml:space="preserve">Incorporated in the Republic of Singapore — UEN: </w:t>
      </w:r>
      <w:r>
        <w:rPr>
          <w:rFonts w:ascii="Calibri" w:cs="Calibri" w:eastAsia="Calibri" w:hAnsi="Calibri"/>
          <w:b/>
          <w:bCs/>
          <w:sz w:val="21"/>
          <w:szCs w:val="21"/>
        </w:rPr>
        <w:t xml:space="preserve">[UEN]</w:t>
      </w:r>
    </w:p>
    <w:p>
      <w:pPr>
        <w:spacing w:after="40" w:before="0" w:line="276"/>
        <w:jc w:val="center"/>
      </w:pPr>
      <w:r>
        <w:rPr>
          <w:rFonts w:ascii="Calibri" w:cs="Calibri" w:eastAsia="Calibri" w:hAnsi="Calibri"/>
          <w:b/>
          <w:bCs/>
          <w:sz w:val="21"/>
          <w:szCs w:val="21"/>
        </w:rPr>
        <w:t xml:space="preserve">SHARE CERTIFICATE</w:t>
      </w:r>
    </w:p>
    <w:p>
      <w:pPr>
        <w:spacing w:after="160" w:before="0" w:line="276"/>
        <w:jc w:val="center"/>
      </w:pPr>
      <w:r>
        <w:rPr>
          <w:rFonts w:ascii="Calibri" w:cs="Calibri" w:eastAsia="Calibri" w:hAnsi="Calibri"/>
          <w:sz w:val="21"/>
          <w:szCs w:val="21"/>
        </w:rPr>
        <w:t xml:space="preserve">Certificate number: </w:t>
      </w:r>
      <w:r>
        <w:rPr>
          <w:rFonts w:ascii="Calibri" w:cs="Calibri" w:eastAsia="Calibri" w:hAnsi="Calibri"/>
          <w:b/>
          <w:bCs/>
          <w:sz w:val="21"/>
          <w:szCs w:val="21"/>
        </w:rPr>
        <w:t xml:space="preserve">[NUMBER]</w:t>
      </w:r>
    </w:p>
    <w:p>
      <w:pPr>
        <w:spacing w:after="160" w:before="0" w:line="276"/>
        <w:jc w:val="both"/>
      </w:pPr>
      <w:r>
        <w:rPr>
          <w:rFonts w:ascii="Calibri" w:cs="Calibri" w:eastAsia="Calibri" w:hAnsi="Calibri"/>
          <w:sz w:val="21"/>
          <w:szCs w:val="21"/>
        </w:rPr>
        <w:t xml:space="preserve">This is to certify that </w:t>
      </w:r>
      <w:r>
        <w:rPr>
          <w:rFonts w:ascii="Calibri" w:cs="Calibri" w:eastAsia="Calibri" w:hAnsi="Calibri"/>
          <w:b/>
          <w:bCs/>
          <w:sz w:val="21"/>
          <w:szCs w:val="21"/>
        </w:rPr>
        <w:t xml:space="preserve">[NAME]</w:t>
      </w:r>
      <w:r>
        <w:rPr>
          <w:rFonts w:ascii="Calibri" w:cs="Calibri" w:eastAsia="Calibri" w:hAnsi="Calibri"/>
          <w:sz w:val="21"/>
          <w:szCs w:val="21"/>
        </w:rPr>
        <w:t xml:space="preserve"> of </w:t>
      </w:r>
      <w:r>
        <w:rPr>
          <w:rFonts w:ascii="Calibri" w:cs="Calibri" w:eastAsia="Calibri" w:hAnsi="Calibri"/>
          <w:b/>
          <w:bCs/>
          <w:sz w:val="21"/>
          <w:szCs w:val="21"/>
        </w:rPr>
        <w:t xml:space="preserve">[ADDRESS]</w:t>
      </w:r>
      <w:r>
        <w:rPr>
          <w:rFonts w:ascii="Calibri" w:cs="Calibri" w:eastAsia="Calibri" w:hAnsi="Calibri"/>
          <w:sz w:val="21"/>
          <w:szCs w:val="21"/>
        </w:rPr>
        <w:t xml:space="preserve"> is the registered holder of </w:t>
      </w:r>
      <w:r>
        <w:rPr>
          <w:rFonts w:ascii="Calibri" w:cs="Calibri" w:eastAsia="Calibri" w:hAnsi="Calibri"/>
          <w:b/>
          <w:bCs/>
          <w:sz w:val="21"/>
          <w:szCs w:val="21"/>
        </w:rPr>
        <w:t xml:space="preserve">[NUMBER]</w:t>
      </w:r>
      <w:r>
        <w:rPr>
          <w:rFonts w:ascii="Calibri" w:cs="Calibri" w:eastAsia="Calibri" w:hAnsi="Calibri"/>
          <w:b/>
          <w:bCs/>
          <w:sz w:val="21"/>
          <w:szCs w:val="21"/>
        </w:rPr>
        <w:t xml:space="preserve"> (</w:t>
      </w:r>
      <w:r>
        <w:rPr>
          <w:rFonts w:ascii="Calibri" w:cs="Calibri" w:eastAsia="Calibri" w:hAnsi="Calibri"/>
          <w:b/>
          <w:bCs/>
          <w:sz w:val="21"/>
          <w:szCs w:val="21"/>
        </w:rPr>
        <w:t xml:space="preserve">[IN WORDS]</w:t>
      </w:r>
      <w:r>
        <w:rPr>
          <w:rFonts w:ascii="Calibri" w:cs="Calibri" w:eastAsia="Calibri" w:hAnsi="Calibri"/>
          <w:b/>
          <w:bCs/>
          <w:sz w:val="21"/>
          <w:szCs w:val="21"/>
        </w:rPr>
        <w:t xml:space="preserve">)</w:t>
      </w:r>
      <w:r>
        <w:rPr>
          <w:rFonts w:ascii="Calibri" w:cs="Calibri" w:eastAsia="Calibri" w:hAnsi="Calibri"/>
          <w:sz w:val="21"/>
          <w:szCs w:val="21"/>
        </w:rPr>
        <w:t xml:space="preserve"> </w:t>
      </w:r>
      <w:r>
        <w:rPr>
          <w:rFonts w:ascii="Calibri" w:cs="Calibri" w:eastAsia="Calibri" w:hAnsi="Calibri"/>
          <w:b/>
          <w:bCs/>
          <w:sz w:val="21"/>
          <w:szCs w:val="21"/>
        </w:rPr>
        <w:t xml:space="preserve">[CLASS]</w:t>
      </w:r>
      <w:r>
        <w:rPr>
          <w:rFonts w:ascii="Calibri" w:cs="Calibri" w:eastAsia="Calibri" w:hAnsi="Calibri"/>
          <w:sz w:val="21"/>
          <w:szCs w:val="21"/>
        </w:rPr>
        <w:t xml:space="preserve"> shares in the capital of the Company, subject to the Constitution of the Company.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Holder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Identification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[NRIC / FIN / registration number]</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Number of shares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Class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[CLASS]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Distinctive numbers, if used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[FROM]</w:t>
            </w:r>
            <w:r>
              <w:rPr>
                <w:rFonts w:ascii="Calibri" w:cs="Calibri" w:eastAsia="Calibri" w:hAnsi="Calibri"/>
                <w:sz w:val="19"/>
                <w:szCs w:val="19"/>
              </w:rPr>
              <w:t xml:space="preserve"> to </w:t>
            </w:r>
            <w:r>
              <w:rPr>
                <w:rFonts w:ascii="Calibri" w:cs="Calibri" w:eastAsia="Calibri" w:hAnsi="Calibri"/>
                <w:b/>
                <w:bCs/>
                <w:sz w:val="19"/>
                <w:szCs w:val="19"/>
              </w:rPr>
              <w:t xml:space="preserve">[TO]</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Amount paid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 </w:t>
            </w:r>
            <w:r>
              <w:rPr>
                <w:rFonts w:ascii="Calibri" w:cs="Calibri" w:eastAsia="Calibri" w:hAnsi="Calibri"/>
                <w:b/>
                <w:bCs/>
                <w:sz w:val="19"/>
                <w:szCs w:val="19"/>
              </w:rPr>
              <w:t xml:space="preserve">[AMOUNT]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issue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spacing w:after="200" w:before="0" w:line="276"/>
        <w:jc w:val="both"/>
      </w:pPr>
      <w:r>
        <w:rPr>
          <w:rFonts w:ascii="Calibri" w:cs="Calibri" w:eastAsia="Calibri" w:hAnsi="Calibri"/>
          <w:sz w:val="21"/>
          <w:szCs w:val="21"/>
        </w:rPr>
        <w:t xml:space="preserve">Given under the </w:t>
      </w:r>
      <w:r>
        <w:rPr>
          <w:rFonts w:ascii="Calibri" w:cs="Calibri" w:eastAsia="Calibri" w:hAnsi="Calibri"/>
          <w:b/>
          <w:bCs/>
          <w:sz w:val="21"/>
          <w:szCs w:val="21"/>
        </w:rPr>
        <w:t xml:space="preserve">[common seal / authority]</w:t>
      </w:r>
      <w:r>
        <w:rPr>
          <w:rFonts w:ascii="Calibri" w:cs="Calibri" w:eastAsia="Calibri" w:hAnsi="Calibri"/>
          <w:sz w:val="21"/>
          <w:szCs w:val="21"/>
        </w:rPr>
        <w:t xml:space="preserve"> of the Company on </w:t>
      </w:r>
      <w:r>
        <w:rPr>
          <w:rFonts w:ascii="Calibri" w:cs="Calibri" w:eastAsia="Calibri" w:hAnsi="Calibri"/>
          <w:b/>
          <w:bCs/>
          <w:sz w:val="21"/>
          <w:szCs w:val="21"/>
        </w:rPr>
        <w:t xml:space="preserve">[DATE]</w:t>
      </w:r>
      <w:r>
        <w:rPr>
          <w:rFonts w:ascii="Calibri" w:cs="Calibri" w:eastAsia="Calibri" w:hAnsi="Calibri"/>
          <w:sz w:val="21"/>
          <w:szCs w:val="21"/>
        </w:rPr>
        <w:t xml:space="preser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Director</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[Director / Company Secretary]</w:t>
            </w:r>
          </w:p>
        </w:tc>
      </w:tr>
    </w:tbl>
    <w:p>
      <w:pPr>
        <w:spacing w:after="140"/>
      </w:pPr>
    </w:p>
    <w:p>
      <w:pPr>
        <w:spacing w:after="160" w:before="0" w:line="276"/>
        <w:jc w:val="both"/>
      </w:pPr>
      <w:r>
        <w:rPr>
          <w:rFonts w:ascii="Calibri" w:cs="Calibri" w:eastAsia="Calibri" w:hAnsi="Calibri"/>
          <w:i/>
          <w:iCs/>
          <w:sz w:val="21"/>
          <w:szCs w:val="21"/>
        </w:rPr>
        <w:t xml:space="preserve">Note: the register of members maintained by the Registrar is prima facie evidence of title for a private company. This certificate is evidence of the holding, not the source of it.</w:t>
      </w: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Allotment Register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
        <w:gridCol w:w="674"/>
        <w:gridCol w:w="1156"/>
        <w:gridCol w:w="674"/>
        <w:gridCol w:w="771"/>
        <w:gridCol w:w="867"/>
        <w:gridCol w:w="771"/>
        <w:gridCol w:w="1060"/>
        <w:gridCol w:w="1060"/>
        <w:gridCol w:w="771"/>
        <w:gridCol w:w="867"/>
        <w:gridCol w:w="678"/>
      </w:tblGrid>
      <w:tr>
        <w:trPr>
          <w:tblHeader/>
        </w:trPr>
        <w:tc>
          <w:tcPr>
            <w:tcW w:type="dxa" w:w="28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67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Allottee</w:t>
            </w:r>
          </w:p>
        </w:tc>
        <w:tc>
          <w:tcPr>
            <w:tcW w:type="dxa" w:w="67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Shares</w:t>
            </w:r>
          </w:p>
        </w:tc>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Class</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Price per share</w:t>
            </w:r>
          </w:p>
        </w:tc>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Total</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Consideration</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Pre-emption</w:t>
            </w:r>
          </w:p>
        </w:tc>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Return filed</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Certificate no.</w:t>
            </w:r>
          </w:p>
        </w:tc>
        <w:tc>
          <w:tcPr>
            <w:tcW w:type="dxa" w:w="6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Controller check</w:t>
            </w:r>
          </w:p>
        </w:tc>
      </w:tr>
      <w:t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[CLASS]</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[Cash / Other]</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[Complied / Waived]</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67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r>
      <w:t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[CLASS]</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[TYPE]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[STATUS]</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67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r>
      <w:t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3</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[CLASS]</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[TYPE]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[STATUS]</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67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C</w:t>
      </w:r>
    </w:p>
    <w:p>
      <w:pPr>
        <w:spacing w:after="260"/>
        <w:jc w:val="center"/>
      </w:pPr>
      <w:r>
        <w:rPr>
          <w:rFonts w:ascii="Calibri" w:cs="Calibri" w:eastAsia="Calibri" w:hAnsi="Calibri"/>
          <w:i/>
          <w:iCs/>
          <w:color w:val="6E7480"/>
          <w:sz w:val="19"/>
          <w:szCs w:val="19"/>
        </w:rPr>
        <w:t xml:space="preserve">Post-Allotment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300"/>
        <w:gridCol w:w="2409"/>
        <w:gridCol w:w="1448"/>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530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24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Deadline</w:t>
            </w:r>
          </w:p>
        </w:tc>
        <w:tc>
          <w:tcPr>
            <w:tcW w:type="dxa" w:w="144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Consideration received and banked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or on allotment</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Resolution passed and filed in the minute book</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allotment</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Return of allotment lodged with the Registrar</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Within 14 days</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of members updated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Immediately</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Share certificate issued to the allottee</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the prescribed period</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Cap table updated and reconciled to the Registrar’s register</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Immediately</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of registrable controllers reviewed and updated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the change</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Central register filing made where controllers changed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the prescribed period</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of nominee shareholders updated where applicable</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the change</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Shareholders’ agreement deed of adherence executed by the allottee</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allotment</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Constitution amended where new class rights were created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allotment</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Anti-dilution adjustments applied to existing instruments</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allotment</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Option pool percentage recalculated and communicated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Promptly</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Bank and auditor informed where material</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Promptly</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No par value</w:t>
      </w:r>
    </w:p>
    <w:p>
      <w:pPr>
        <w:spacing w:after="60" w:line="264"/>
        <w:jc w:val="both"/>
      </w:pPr>
      <w:r>
        <w:rPr>
          <w:rFonts w:ascii="Calibri" w:cs="Calibri" w:eastAsia="Calibri" w:hAnsi="Calibri"/>
          <w:sz w:val="19"/>
          <w:szCs w:val="19"/>
        </w:rPr>
        <w:t xml:space="preserve">Par value and share premium were abolished. The consideration is simply the price agreed; there is no nominal value to distinguish from premium, and no share premium account. Documents referring to par value, nominal value or premium are either legacy or imported from another jurisdiction.</w:t>
      </w:r>
    </w:p>
    <w:p>
      <w:pPr>
        <w:keepNext/>
        <w:spacing w:after="40" w:before="140"/>
      </w:pPr>
      <w:r>
        <w:rPr>
          <w:rFonts w:ascii="Calibri" w:cs="Calibri" w:eastAsia="Calibri" w:hAnsi="Calibri"/>
          <w:b/>
          <w:bCs/>
          <w:color w:val="14161B"/>
          <w:sz w:val="20"/>
          <w:szCs w:val="20"/>
        </w:rPr>
        <w:t xml:space="preserve">Fourteen days for the return of allotment</w:t>
      </w:r>
    </w:p>
    <w:p>
      <w:pPr>
        <w:spacing w:after="60" w:line="264"/>
        <w:jc w:val="both"/>
      </w:pPr>
      <w:r>
        <w:rPr>
          <w:rFonts w:ascii="Calibri" w:cs="Calibri" w:eastAsia="Calibri" w:hAnsi="Calibri"/>
          <w:sz w:val="19"/>
          <w:szCs w:val="19"/>
        </w:rPr>
        <w:t xml:space="preserve">The return must be lodged within fourteen days of the allotment. It is the step most often missed in fast-moving financing rounds, where the money arrives, the certificate is issued, and the filing waits for someone to remember. Late filing attracts penalties and leaves the public record wrong.</w:t>
      </w:r>
    </w:p>
    <w:p>
      <w:pPr>
        <w:keepNext/>
        <w:spacing w:after="40" w:before="140"/>
      </w:pPr>
      <w:r>
        <w:rPr>
          <w:rFonts w:ascii="Calibri" w:cs="Calibri" w:eastAsia="Calibri" w:hAnsi="Calibri"/>
          <w:b/>
          <w:bCs/>
          <w:color w:val="14161B"/>
          <w:sz w:val="20"/>
          <w:szCs w:val="20"/>
        </w:rPr>
        <w:t xml:space="preserve">The Registrar’s register is what determines title</w:t>
      </w:r>
    </w:p>
    <w:p>
      <w:pPr>
        <w:spacing w:after="60" w:line="264"/>
        <w:jc w:val="both"/>
      </w:pPr>
      <w:r>
        <w:rPr>
          <w:rFonts w:ascii="Calibri" w:cs="Calibri" w:eastAsia="Calibri" w:hAnsi="Calibri"/>
          <w:sz w:val="19"/>
          <w:szCs w:val="19"/>
        </w:rPr>
        <w:t xml:space="preserve">For a private company, the electronic register of members maintained by the Registrar is prima facie evidence of legal title. A meticulously kept internal register that does not match it is not the operative record. Reconcile the cap table to the Registrar’s register, not the other way round.</w:t>
      </w:r>
    </w:p>
    <w:p>
      <w:pPr>
        <w:keepNext/>
        <w:spacing w:after="40" w:before="140"/>
      </w:pPr>
      <w:r>
        <w:rPr>
          <w:rFonts w:ascii="Calibri" w:cs="Calibri" w:eastAsia="Calibri" w:hAnsi="Calibri"/>
          <w:b/>
          <w:bCs/>
          <w:color w:val="14161B"/>
          <w:sz w:val="20"/>
          <w:szCs w:val="20"/>
        </w:rPr>
        <w:t xml:space="preserve">The certificate is evidence, not title</w:t>
      </w:r>
    </w:p>
    <w:p>
      <w:pPr>
        <w:spacing w:after="60" w:line="264"/>
        <w:jc w:val="both"/>
      </w:pPr>
      <w:r>
        <w:rPr>
          <w:rFonts w:ascii="Calibri" w:cs="Calibri" w:eastAsia="Calibri" w:hAnsi="Calibri"/>
          <w:sz w:val="19"/>
          <w:szCs w:val="19"/>
        </w:rPr>
        <w:t xml:space="preserve">A share certificate evidences the holding. It does not create it. Companies sometimes treat issuing the certificate as completing the allotment and leave the filing undone, which inverts what matters.</w:t>
      </w:r>
    </w:p>
    <w:p>
      <w:pPr>
        <w:keepNext/>
        <w:spacing w:after="40" w:before="140"/>
      </w:pPr>
      <w:r>
        <w:rPr>
          <w:rFonts w:ascii="Calibri" w:cs="Calibri" w:eastAsia="Calibri" w:hAnsi="Calibri"/>
          <w:b/>
          <w:bCs/>
          <w:color w:val="14161B"/>
          <w:sz w:val="20"/>
          <w:szCs w:val="20"/>
        </w:rPr>
        <w:t xml:space="preserve">Pre-emption before allotment, always</w:t>
      </w:r>
    </w:p>
    <w:p>
      <w:pPr>
        <w:spacing w:after="60" w:line="264"/>
        <w:jc w:val="both"/>
      </w:pPr>
      <w:r>
        <w:rPr>
          <w:rFonts w:ascii="Calibri" w:cs="Calibri" w:eastAsia="Calibri" w:hAnsi="Calibri"/>
          <w:sz w:val="19"/>
          <w:szCs w:val="19"/>
        </w:rPr>
        <w:t xml:space="preserve">Where the constitution or shareholders’ agreement gives existing members a right of first refusal on new issues, complying afterwards is not possible. Obtain waivers in writing and keep them with the resolution. This is the most common defect found in due diligence on early-stage companies.</w:t>
      </w:r>
    </w:p>
    <w:p>
      <w:pPr>
        <w:keepNext/>
        <w:spacing w:after="40" w:before="140"/>
      </w:pPr>
      <w:r>
        <w:rPr>
          <w:rFonts w:ascii="Calibri" w:cs="Calibri" w:eastAsia="Calibri" w:hAnsi="Calibri"/>
          <w:b/>
          <w:bCs/>
          <w:color w:val="14161B"/>
          <w:sz w:val="20"/>
          <w:szCs w:val="20"/>
        </w:rPr>
        <w:t xml:space="preserve">Create the class rights in the constitution</w:t>
      </w:r>
    </w:p>
    <w:p>
      <w:pPr>
        <w:spacing w:after="60" w:line="264"/>
        <w:jc w:val="both"/>
      </w:pPr>
      <w:r>
        <w:rPr>
          <w:rFonts w:ascii="Calibri" w:cs="Calibri" w:eastAsia="Calibri" w:hAnsi="Calibri"/>
          <w:sz w:val="19"/>
          <w:szCs w:val="19"/>
        </w:rPr>
        <w:t xml:space="preserve">Preference share rights agreed in a term sheet or subscription agreement must be reflected in the constitution before the shares are issued. Issuing "Series A preference shares" where the constitution recognises only ordinary shares creates an inconsistency that is awkward and expensive to unwind at the next round.</w:t>
      </w:r>
    </w:p>
    <w:p>
      <w:pPr>
        <w:keepNext/>
        <w:spacing w:after="40" w:before="140"/>
      </w:pPr>
      <w:r>
        <w:rPr>
          <w:rFonts w:ascii="Calibri" w:cs="Calibri" w:eastAsia="Calibri" w:hAnsi="Calibri"/>
          <w:b/>
          <w:bCs/>
          <w:color w:val="14161B"/>
          <w:sz w:val="20"/>
          <w:szCs w:val="20"/>
        </w:rPr>
        <w:t xml:space="preserve">Non-cash consideration needs describing</w:t>
      </w:r>
    </w:p>
    <w:p>
      <w:pPr>
        <w:spacing w:after="60" w:line="264"/>
        <w:jc w:val="both"/>
      </w:pPr>
      <w:r>
        <w:rPr>
          <w:rFonts w:ascii="Calibri" w:cs="Calibri" w:eastAsia="Calibri" w:hAnsi="Calibri"/>
          <w:sz w:val="19"/>
          <w:szCs w:val="19"/>
        </w:rPr>
        <w:t xml:space="preserve">Where shares are issued for something other than cash — services, assets, conversion of a loan — the consideration must be described and the basis of valuation recorded. Vague descriptions cause problems at the next financing and in any subsequent tax enquiry.</w:t>
      </w:r>
    </w:p>
    <w:p>
      <w:pPr>
        <w:keepNext/>
        <w:spacing w:after="40" w:before="140"/>
      </w:pPr>
      <w:r>
        <w:rPr>
          <w:rFonts w:ascii="Calibri" w:cs="Calibri" w:eastAsia="Calibri" w:hAnsi="Calibri"/>
          <w:b/>
          <w:bCs/>
          <w:color w:val="14161B"/>
          <w:sz w:val="20"/>
          <w:szCs w:val="20"/>
        </w:rPr>
        <w:t xml:space="preserve">Check the fifty-member limit</w:t>
      </w:r>
    </w:p>
    <w:p>
      <w:pPr>
        <w:spacing w:after="60" w:line="264"/>
        <w:jc w:val="both"/>
      </w:pPr>
      <w:r>
        <w:rPr>
          <w:rFonts w:ascii="Calibri" w:cs="Calibri" w:eastAsia="Calibri" w:hAnsi="Calibri"/>
          <w:sz w:val="19"/>
          <w:szCs w:val="19"/>
        </w:rPr>
        <w:t xml:space="preserve">A private company may not have more than fifty members, excluding employees and former employees who acquired shares while employed and continue to hold them. Companies with a widely distributed option scheme or many small angels can approach this without noticing.</w:t>
      </w:r>
    </w:p>
    <w:p>
      <w:pPr>
        <w:keepNext/>
        <w:spacing w:after="40" w:before="140"/>
      </w:pPr>
      <w:r>
        <w:rPr>
          <w:rFonts w:ascii="Calibri" w:cs="Calibri" w:eastAsia="Calibri" w:hAnsi="Calibri"/>
          <w:b/>
          <w:bCs/>
          <w:color w:val="14161B"/>
          <w:sz w:val="20"/>
          <w:szCs w:val="20"/>
        </w:rPr>
        <w:t xml:space="preserve">No invitation to the public</w:t>
      </w:r>
    </w:p>
    <w:p>
      <w:pPr>
        <w:spacing w:after="60" w:line="264"/>
        <w:jc w:val="both"/>
      </w:pPr>
      <w:r>
        <w:rPr>
          <w:rFonts w:ascii="Calibri" w:cs="Calibri" w:eastAsia="Calibri" w:hAnsi="Calibri"/>
          <w:sz w:val="19"/>
          <w:szCs w:val="19"/>
        </w:rPr>
        <w:t xml:space="preserve">A private company may not invite the public to subscribe for shares or debentures. Broad solicitation, including some forms of online fundraising, can cross this line. Take advice before any offer that is not to identified individuals.</w:t>
      </w:r>
    </w:p>
    <w:p>
      <w:pPr>
        <w:keepNext/>
        <w:spacing w:after="40" w:before="140"/>
      </w:pPr>
      <w:r>
        <w:rPr>
          <w:rFonts w:ascii="Calibri" w:cs="Calibri" w:eastAsia="Calibri" w:hAnsi="Calibri"/>
          <w:b/>
          <w:bCs/>
          <w:color w:val="14161B"/>
          <w:sz w:val="20"/>
          <w:szCs w:val="20"/>
        </w:rPr>
        <w:t xml:space="preserve">Review the controllers register on every allotment</w:t>
      </w:r>
    </w:p>
    <w:p>
      <w:pPr>
        <w:spacing w:after="60" w:line="264"/>
        <w:jc w:val="both"/>
      </w:pPr>
      <w:r>
        <w:rPr>
          <w:rFonts w:ascii="Calibri" w:cs="Calibri" w:eastAsia="Calibri" w:hAnsi="Calibri"/>
          <w:sz w:val="19"/>
          <w:szCs w:val="19"/>
        </w:rPr>
        <w:t xml:space="preserve">A new holder crossing the significant-interest threshold, or an existing holder being diluted below it, changes the register of registrable controllers, which carries its own central filing obligation. Step 7 makes the review automatic rather than dependent on someone remembering the connection.</w:t>
      </w:r>
    </w:p>
    <w:p>
      <w:pPr>
        <w:keepNext/>
        <w:spacing w:after="40" w:before="140"/>
      </w:pPr>
      <w:r>
        <w:rPr>
          <w:rFonts w:ascii="Calibri" w:cs="Calibri" w:eastAsia="Calibri" w:hAnsi="Calibri"/>
          <w:b/>
          <w:bCs/>
          <w:color w:val="14161B"/>
          <w:sz w:val="20"/>
          <w:szCs w:val="20"/>
        </w:rPr>
        <w:t xml:space="preserve">Nominee shareholders need their own register</w:t>
      </w:r>
    </w:p>
    <w:p>
      <w:pPr>
        <w:spacing w:after="60" w:line="264"/>
        <w:jc w:val="both"/>
      </w:pPr>
      <w:r>
        <w:rPr>
          <w:rFonts w:ascii="Calibri" w:cs="Calibri" w:eastAsia="Calibri" w:hAnsi="Calibri"/>
          <w:sz w:val="19"/>
          <w:szCs w:val="19"/>
        </w:rPr>
        <w:t xml:space="preserve">Where the allottee holds on behalf of another, the register of nominee shareholders applies and the nominator’s particulars must be recorded. Ask the question at allotment — it is much harder to establish later.</w:t>
      </w:r>
    </w:p>
    <w:p>
      <w:pPr>
        <w:keepNext/>
        <w:spacing w:after="40" w:before="140"/>
      </w:pPr>
      <w:r>
        <w:rPr>
          <w:rFonts w:ascii="Calibri" w:cs="Calibri" w:eastAsia="Calibri" w:hAnsi="Calibri"/>
          <w:b/>
          <w:bCs/>
          <w:color w:val="14161B"/>
          <w:sz w:val="20"/>
          <w:szCs w:val="20"/>
        </w:rPr>
        <w:t xml:space="preserve">Deed of adherence at the same time</w:t>
      </w:r>
    </w:p>
    <w:p>
      <w:pPr>
        <w:spacing w:after="60" w:line="264"/>
        <w:jc w:val="both"/>
      </w:pPr>
      <w:r>
        <w:rPr>
          <w:rFonts w:ascii="Calibri" w:cs="Calibri" w:eastAsia="Calibri" w:hAnsi="Calibri"/>
          <w:sz w:val="19"/>
          <w:szCs w:val="19"/>
        </w:rPr>
        <w:t xml:space="preserve">A new shareholder who has not acceded to the shareholders’ agreement is not bound by its transfer restrictions, drag and tag provisions or information rights. Execute the adherence at closing, not as a follow-up item that never closes.</w:t>
      </w:r>
    </w:p>
    <w:p>
      <w:pPr>
        <w:keepNext/>
        <w:spacing w:after="40" w:before="140"/>
      </w:pPr>
      <w:r>
        <w:rPr>
          <w:rFonts w:ascii="Calibri" w:cs="Calibri" w:eastAsia="Calibri" w:hAnsi="Calibri"/>
          <w:b/>
          <w:bCs/>
          <w:color w:val="14161B"/>
          <w:sz w:val="20"/>
          <w:szCs w:val="20"/>
        </w:rPr>
        <w:t xml:space="preserve">Anti-dilution and pool top-ups</w:t>
      </w:r>
    </w:p>
    <w:p>
      <w:pPr>
        <w:spacing w:after="60" w:line="264"/>
        <w:jc w:val="both"/>
      </w:pPr>
      <w:r>
        <w:rPr>
          <w:rFonts w:ascii="Calibri" w:cs="Calibri" w:eastAsia="Calibri" w:hAnsi="Calibri"/>
          <w:sz w:val="19"/>
          <w:szCs w:val="19"/>
        </w:rPr>
        <w:t xml:space="preserve">An issue at a lower price may trigger anti-dilution adjustments on existing preference shares or convertible instruments, and may dilute the option pool below what has been promised to employees. Compute both before the allotment, because the numbers frequently change what the round actually delivers.</w:t>
      </w:r>
    </w:p>
    <w:p>
      <w:pPr>
        <w:keepNext/>
        <w:spacing w:after="40" w:before="140"/>
      </w:pPr>
      <w:r>
        <w:rPr>
          <w:rFonts w:ascii="Calibri" w:cs="Calibri" w:eastAsia="Calibri" w:hAnsi="Calibri"/>
          <w:b/>
          <w:bCs/>
          <w:color w:val="14161B"/>
          <w:sz w:val="20"/>
          <w:szCs w:val="20"/>
        </w:rPr>
        <w:t xml:space="preserve">Keep the register and the cap table reconciled</w:t>
      </w:r>
    </w:p>
    <w:p>
      <w:pPr>
        <w:spacing w:after="60" w:line="264"/>
        <w:jc w:val="both"/>
      </w:pPr>
      <w:r>
        <w:rPr>
          <w:rFonts w:ascii="Calibri" w:cs="Calibri" w:eastAsia="Calibri" w:hAnsi="Calibri"/>
          <w:sz w:val="19"/>
          <w:szCs w:val="19"/>
        </w:rPr>
        <w:t xml:space="preserve">Cap tables maintained in a spreadsheet drift from the statutory registers, usually by an allotment recorded in one and not the other. Reconciling on every allotment takes minutes; reconstructing several years of drift during a financing does not.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Filing deadlines and forms under the Companies Act 1967, the private company member limit, and requirements on registrable controllers and nominee shareholders all change — have allotments handled by a company secretary, and take legal advice on any issue creating a new class of shares.</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2026-08-22T06:55:30.151Z</dcterms:created>
  <dcterms:modified xsi:type="dcterms:W3CDTF">2026-08-22T06:55:30.151Z</dcterms:modified>
</cp:coreProperties>
</file>

<file path=docProps/custom.xml><?xml version="1.0" encoding="utf-8"?>
<Properties xmlns="http://schemas.openxmlformats.org/officeDocument/2006/custom-properties" xmlns:vt="http://schemas.openxmlformats.org/officeDocument/2006/docPropsVTypes"/>
</file>