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TERM SHEET</w:t>
      </w:r>
    </w:p>
    <w:p>
      <w:pPr>
        <w:spacing w:after="260"/>
        <w:jc w:val="center"/>
      </w:pPr>
      <w:r>
        <w:rPr>
          <w:rFonts w:ascii="Calibri" w:cs="Calibri" w:eastAsia="Calibri" w:hAnsi="Calibri"/>
          <w:i/>
          <w:iCs/>
          <w:color w:val="6E7480"/>
          <w:sz w:val="19"/>
          <w:szCs w:val="19"/>
        </w:rPr>
        <w:t xml:space="preserve">Preferred equity financing</w:t>
      </w:r>
    </w:p>
    <w:p>
      <w:pPr>
        <w:spacing w:after="180" w:before="0" w:line="276"/>
        <w:jc w:val="both"/>
      </w:pPr>
      <w:r>
        <w:rPr>
          <w:rFonts w:ascii="Calibri" w:cs="Calibri" w:eastAsia="Calibri" w:hAnsi="Calibri"/>
          <w:i/>
          <w:iCs/>
          <w:color w:val="6E7480"/>
          <w:sz w:val="21"/>
          <w:szCs w:val="21"/>
        </w:rPr>
        <w:t xml:space="preserve">Before drafting from scratch, look at </w:t>
      </w:r>
      <w:r>
        <w:rPr>
          <w:rFonts w:ascii="Calibri" w:cs="Calibri" w:eastAsia="Calibri" w:hAnsi="Calibri"/>
          <w:b/>
          <w:bCs/>
          <w:i/>
          <w:iCs/>
          <w:color w:val="6E7480"/>
          <w:sz w:val="21"/>
          <w:szCs w:val="21"/>
        </w:rPr>
        <w:t xml:space="preserve">VIMA</w:t>
      </w:r>
      <w:r>
        <w:rPr>
          <w:rFonts w:ascii="Calibri" w:cs="Calibri" w:eastAsia="Calibri" w:hAnsi="Calibri"/>
          <w:i/>
          <w:iCs/>
          <w:color w:val="6E7480"/>
          <w:sz w:val="21"/>
          <w:szCs w:val="21"/>
        </w:rPr>
        <w:t xml:space="preserve"> — the Venture Capital Investment Model Agreements published free by the Singapore Academy of Law and the Singapore Venture Capital and Private Equity Association. They are Singapore-law, widely recognised, and come with drafting notes. This document is written to help you understand and negotiate a term sheet, not to replace them.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Lead investor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Round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[Series A]</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Pre-money valuation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Option pool</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w:t>
            </w:r>
            <w:r>
              <w:rPr>
                <w:rFonts w:ascii="Calibri" w:cs="Calibri" w:eastAsia="Calibri" w:hAnsi="Calibri"/>
                <w:sz w:val="19"/>
                <w:szCs w:val="19"/>
              </w:rPr>
              <w:t xml:space="preserve"> post-closing, </w:t>
            </w:r>
            <w:r>
              <w:rPr>
                <w:rFonts w:ascii="Calibri" w:cs="Calibri" w:eastAsia="Calibri" w:hAnsi="Calibri"/>
                <w:b/>
                <w:bCs/>
                <w:sz w:val="19"/>
                <w:szCs w:val="19"/>
              </w:rPr>
              <w:t xml:space="preserve">[included in the pre-money / created post-money]</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Post-money valuation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 </w:t>
            </w:r>
            <w:r>
              <w:rPr>
                <w:rFonts w:ascii="Calibri" w:cs="Calibri" w:eastAsia="Calibri" w:hAnsi="Calibri"/>
                <w:b/>
                <w:bCs/>
                <w:sz w:val="19"/>
                <w:szCs w:val="19"/>
              </w:rPr>
              <w:t xml:space="preserve">[AMOUNT]</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Investor stake</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[PERCENTAGE]</w:t>
            </w:r>
            <w:r>
              <w:rPr>
                <w:rFonts w:ascii="Calibri" w:cs="Calibri" w:eastAsia="Calibri" w:hAnsi="Calibri"/>
                <w:sz w:val="19"/>
                <w:szCs w:val="19"/>
              </w:rPr>
              <w:t xml:space="preserve"> fully diluted</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Security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[Series A Preference Shares]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Exclusivity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[45]</w:t>
            </w:r>
            <w:r>
              <w:rPr>
                <w:rFonts w:ascii="Calibri" w:cs="Calibri" w:eastAsia="Calibri" w:hAnsi="Calibri"/>
                <w:sz w:val="19"/>
                <w:szCs w:val="19"/>
              </w:rPr>
              <w:t xml:space="preserve"> days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Target signing</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Binding?</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 except exclusivity, confidentiality and costs</w:t>
            </w:r>
          </w:p>
        </w:tc>
      </w:tr>
    </w:tbl>
    <w:p>
      <w:pPr>
        <w:spacing w:after="180"/>
      </w:pPr>
    </w:p>
    <w:p>
      <w:pPr>
        <w:keepNext/>
        <w:spacing w:after="120" w:before="280"/>
        <w:outlineLvl w:val="0"/>
      </w:pPr>
      <w:r>
        <w:rPr>
          <w:rFonts w:ascii="Calibri" w:cs="Calibri" w:eastAsia="Calibri" w:hAnsi="Calibri"/>
          <w:b/>
          <w:bCs/>
          <w:color w:val="14161B"/>
          <w:sz w:val="22"/>
          <w:szCs w:val="22"/>
        </w:rPr>
        <w:t xml:space="preserve">1. STATUS OF THIS TERM SHEET</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This term sheet records the principal terms on which the Investor would invest. </w:t>
      </w:r>
      <w:r>
        <w:rPr>
          <w:rFonts w:ascii="Calibri" w:cs="Calibri" w:eastAsia="Calibri" w:hAnsi="Calibri"/>
          <w:b/>
          <w:bCs/>
          <w:sz w:val="21"/>
          <w:szCs w:val="21"/>
        </w:rPr>
        <w:t xml:space="preserve">It is not legally binding</w:t>
      </w:r>
      <w:r>
        <w:rPr>
          <w:rFonts w:ascii="Calibri" w:cs="Calibri" w:eastAsia="Calibri" w:hAnsi="Calibri"/>
          <w:sz w:val="21"/>
          <w:szCs w:val="21"/>
        </w:rPr>
        <w:t xml:space="preserve">, save for the provisions on exclusivity, confidentiality and costs, which are binding.</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No party is obliged to proceed, and either may withdraw at any time before definitive agreements are signed.</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i/>
          <w:iCs/>
          <w:sz w:val="21"/>
          <w:szCs w:val="21"/>
        </w:rPr>
        <w:t xml:space="preserve">Say this expressly. A detailed term sheet that omits a non-binding statement can generate an argument that a contract was formed — particularly where the parties then behave as if bound.</w:t>
      </w:r>
    </w:p>
    <w:p>
      <w:pPr>
        <w:keepNext/>
        <w:spacing w:after="120" w:before="280"/>
        <w:outlineLvl w:val="0"/>
      </w:pPr>
      <w:r>
        <w:rPr>
          <w:rFonts w:ascii="Calibri" w:cs="Calibri" w:eastAsia="Calibri" w:hAnsi="Calibri"/>
          <w:b/>
          <w:bCs/>
          <w:color w:val="14161B"/>
          <w:sz w:val="22"/>
          <w:szCs w:val="22"/>
        </w:rPr>
        <w:t xml:space="preserve">2. THE ECONOMICS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2505"/>
        <w:gridCol w:w="4820"/>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Term</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Position</w:t>
            </w:r>
          </w:p>
        </w:tc>
        <w:tc>
          <w:tcPr>
            <w:tcW w:type="dxa" w:w="48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What it means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Investment amount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 </w:t>
            </w:r>
            <w:r>
              <w:rPr>
                <w:rFonts w:ascii="Calibri" w:cs="Calibri" w:eastAsia="Calibri" w:hAnsi="Calibri"/>
                <w:b/>
                <w:bCs/>
                <w:sz w:val="17"/>
                <w:szCs w:val="17"/>
              </w:rPr>
              <w:t xml:space="preserve">[AMOUNT]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new money</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Pre-money valuation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 </w:t>
            </w:r>
            <w:r>
              <w:rPr>
                <w:rFonts w:ascii="Calibri" w:cs="Calibri" w:eastAsia="Calibri" w:hAnsi="Calibri"/>
                <w:b/>
                <w:bCs/>
                <w:sz w:val="17"/>
                <w:szCs w:val="17"/>
              </w:rPr>
              <w:t xml:space="preserve">[AMOUNT]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company’s agreed value before the investment</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Option pool treatment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[Included in the pre-money]</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Where the pool sits inside the pre-money, founders bear the entire dilution and the investor’s percentage is unaffected</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Post-money valuation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 </w:t>
            </w:r>
            <w:r>
              <w:rPr>
                <w:rFonts w:ascii="Calibri" w:cs="Calibri" w:eastAsia="Calibri" w:hAnsi="Calibri"/>
                <w:b/>
                <w:bCs/>
                <w:sz w:val="17"/>
                <w:szCs w:val="17"/>
              </w:rPr>
              <w:t xml:space="preserve">[AMOUNT]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Pre-money plus the investment</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Price per share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 </w:t>
            </w:r>
            <w:r>
              <w:rPr>
                <w:rFonts w:ascii="Calibri" w:cs="Calibri" w:eastAsia="Calibri" w:hAnsi="Calibri"/>
                <w:b/>
                <w:bCs/>
                <w:sz w:val="17"/>
                <w:szCs w:val="17"/>
              </w:rPr>
              <w:t xml:space="preserve">[AMOUNT]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Post-money divided by fully diluted shares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Investor holding</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[PERCENTAGE]</w:t>
            </w:r>
            <w:r>
              <w:rPr>
                <w:rFonts w:ascii="Calibri" w:cs="Calibri" w:eastAsia="Calibri" w:hAnsi="Calibri"/>
                <w:sz w:val="17"/>
                <w:szCs w:val="17"/>
              </w:rPr>
              <w:t xml:space="preserve"> fully diluted</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Including the pool and all convertibles as converted</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[Tranching]</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[Second tranche of S$ ______ on ______]</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Milestone conditions must be objectively measurable</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The option pool line is where founders most often lose value without noticing. A pool inside the pre-money reduces the founders’ share, not the investor’s, whatever its size — so the investor has no incentive to keep it small. Negotiating a smaller pool, or a post-money allocation, is frequently worth more than an argument about valuation.</w:t>
      </w:r>
    </w:p>
    <w:p>
      <w:pPr>
        <w:keepNext/>
        <w:spacing w:after="120" w:before="280"/>
        <w:outlineLvl w:val="0"/>
      </w:pPr>
      <w:r>
        <w:rPr>
          <w:rFonts w:ascii="Calibri" w:cs="Calibri" w:eastAsia="Calibri" w:hAnsi="Calibri"/>
          <w:b/>
          <w:bCs/>
          <w:color w:val="14161B"/>
          <w:sz w:val="22"/>
          <w:szCs w:val="22"/>
        </w:rPr>
        <w:t xml:space="preserve">3. PREFERENCE TERMS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2891"/>
        <w:gridCol w:w="2313"/>
        <w:gridCol w:w="2314"/>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Term</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Common position</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Founder-friendly</w:t>
            </w:r>
          </w:p>
        </w:tc>
        <w:tc>
          <w:tcPr>
            <w:tcW w:type="dxa" w:w="231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Investor-friendly</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Liquidation preference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1x non-participating</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1x non-participating</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Participating, or a multiple above 1x</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Participation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None — the investor takes the greater of preference or converted value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Full participation — preference </w:t>
            </w:r>
            <w:r>
              <w:rPr>
                <w:rFonts w:ascii="Calibri" w:cs="Calibri" w:eastAsia="Calibri" w:hAnsi="Calibri"/>
                <w:b/>
                <w:bCs/>
                <w:sz w:val="16"/>
                <w:szCs w:val="16"/>
              </w:rPr>
              <w:t xml:space="preserve">and</w:t>
            </w:r>
            <w:r>
              <w:rPr>
                <w:rFonts w:ascii="Calibri" w:cs="Calibri" w:eastAsia="Calibri" w:hAnsi="Calibri"/>
                <w:sz w:val="16"/>
                <w:szCs w:val="16"/>
              </w:rPr>
              <w:t xml:space="preserve"> pro rata share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Dividends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Non-cumulative, as declared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Non-cumulative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Cumulative at </w:t>
            </w:r>
            <w:r>
              <w:rPr>
                <w:rFonts w:ascii="Calibri" w:cs="Calibri" w:eastAsia="Calibri" w:hAnsi="Calibri"/>
                <w:b/>
                <w:bCs/>
                <w:sz w:val="16"/>
                <w:szCs w:val="16"/>
              </w:rPr>
              <w:t xml:space="preserve">[8]</w:t>
            </w:r>
            <w:r>
              <w:rPr>
                <w:rFonts w:ascii="Calibri" w:cs="Calibri" w:eastAsia="Calibri" w:hAnsi="Calibri"/>
                <w:sz w:val="16"/>
                <w:szCs w:val="16"/>
              </w:rPr>
              <w:t xml:space="preserve"> per cent, accruing</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Anti-dilution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Broad-based weighted average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Broad-based weighted average, or none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Full ratchet</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Conversion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At the investor’s option; automatic on a qualifying IPO</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Automatic on any listing</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Investor consent required</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Redemption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None</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Redeemable after </w:t>
            </w:r>
            <w:r>
              <w:rPr>
                <w:rFonts w:ascii="Calibri" w:cs="Calibri" w:eastAsia="Calibri" w:hAnsi="Calibri"/>
                <w:b/>
                <w:bCs/>
                <w:sz w:val="16"/>
                <w:szCs w:val="16"/>
              </w:rPr>
              <w:t xml:space="preserve">[5]</w:t>
            </w:r>
            <w:r>
              <w:rPr>
                <w:rFonts w:ascii="Calibri" w:cs="Calibri" w:eastAsia="Calibri" w:hAnsi="Calibri"/>
                <w:sz w:val="16"/>
                <w:szCs w:val="16"/>
              </w:rPr>
              <w:t xml:space="preserve"> years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Voting</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As converted, alongside ordinary shares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As converted</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Class vote on a wide list of matters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Pre-emption on new issues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Pro rata right to participate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Pro rata</w:t>
            </w:r>
          </w:p>
        </w:tc>
        <w:tc>
          <w:tcPr>
            <w:tcW w:type="dxa" w:w="2314"/>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Pro rata plus a right to over-allot</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Liquidation preference</w:t>
      </w:r>
      <w:r>
        <w:rPr>
          <w:rFonts w:ascii="Calibri" w:cs="Calibri" w:eastAsia="Calibri" w:hAnsi="Calibri"/>
          <w:sz w:val="21"/>
          <w:szCs w:val="21"/>
        </w:rPr>
        <w:t xml:space="preserve"> is the single most consequential economic term after valuation. A 1x non-participating preference means the investor takes the greater of its money back or its converted share. A participating preference means it takes both — which at modest exit values can leave founders with very little.</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b/>
          <w:bCs/>
          <w:sz w:val="21"/>
          <w:szCs w:val="21"/>
        </w:rPr>
        <w:t xml:space="preserve">Anti-dilution</w:t>
      </w:r>
      <w:r>
        <w:rPr>
          <w:rFonts w:ascii="Calibri" w:cs="Calibri" w:eastAsia="Calibri" w:hAnsi="Calibri"/>
          <w:sz w:val="21"/>
          <w:szCs w:val="21"/>
        </w:rPr>
        <w:t xml:space="preserve"> adjusts the investor’s conversion price if a later round prices lower. Broad-based weighted average adjusts proportionately to the size of the down round; </w:t>
      </w:r>
      <w:r>
        <w:rPr>
          <w:rFonts w:ascii="Calibri" w:cs="Calibri" w:eastAsia="Calibri" w:hAnsi="Calibri"/>
          <w:b/>
          <w:bCs/>
          <w:sz w:val="21"/>
          <w:szCs w:val="21"/>
        </w:rPr>
        <w:t xml:space="preserve">full ratchet</w:t>
      </w:r>
      <w:r>
        <w:rPr>
          <w:rFonts w:ascii="Calibri" w:cs="Calibri" w:eastAsia="Calibri" w:hAnsi="Calibri"/>
          <w:sz w:val="21"/>
          <w:szCs w:val="21"/>
        </w:rPr>
        <w:t xml:space="preserve"> reprices the investor’s entire holding as though it had invested at the lower price, and is severe.</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CONTROL</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3276"/>
        <w:gridCol w:w="4242"/>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Term</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Position</w:t>
            </w:r>
          </w:p>
        </w:tc>
        <w:tc>
          <w:tcPr>
            <w:tcW w:type="dxa" w:w="42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Consider</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Board composition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[2]</w:t>
            </w:r>
            <w:r>
              <w:rPr>
                <w:rFonts w:ascii="Calibri" w:cs="Calibri" w:eastAsia="Calibri" w:hAnsi="Calibri"/>
                <w:sz w:val="17"/>
                <w:szCs w:val="17"/>
              </w:rPr>
              <w:t xml:space="preserve"> founder, </w:t>
            </w:r>
            <w:r>
              <w:rPr>
                <w:rFonts w:ascii="Calibri" w:cs="Calibri" w:eastAsia="Calibri" w:hAnsi="Calibri"/>
                <w:b/>
                <w:bCs/>
                <w:sz w:val="17"/>
                <w:szCs w:val="17"/>
              </w:rPr>
              <w:t xml:space="preserve">[1]</w:t>
            </w:r>
            <w:r>
              <w:rPr>
                <w:rFonts w:ascii="Calibri" w:cs="Calibri" w:eastAsia="Calibri" w:hAnsi="Calibri"/>
                <w:sz w:val="17"/>
                <w:szCs w:val="17"/>
              </w:rPr>
              <w:t xml:space="preserve"> investor, </w:t>
            </w:r>
            <w:r>
              <w:rPr>
                <w:rFonts w:ascii="Calibri" w:cs="Calibri" w:eastAsia="Calibri" w:hAnsi="Calibri"/>
                <w:b/>
                <w:bCs/>
                <w:sz w:val="17"/>
                <w:szCs w:val="17"/>
              </w:rPr>
              <w:t xml:space="preserve">[1]</w:t>
            </w:r>
            <w:r>
              <w:rPr>
                <w:rFonts w:ascii="Calibri" w:cs="Calibri" w:eastAsia="Calibri" w:hAnsi="Calibri"/>
                <w:sz w:val="17"/>
                <w:szCs w:val="17"/>
              </w:rPr>
              <w:t xml:space="preserve"> independent by agreement</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Who appoints the independent director decides control of a deadlocked board</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Board observer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[Investor may appoint one]</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Observers attend but do not vote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Reserved matters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[See Schedule 1]</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The real control mechanism</w:t>
            </w:r>
            <w:r>
              <w:rPr>
                <w:rFonts w:ascii="Calibri" w:cs="Calibri" w:eastAsia="Calibri" w:hAnsi="Calibri"/>
                <w:sz w:val="17"/>
                <w:szCs w:val="17"/>
              </w:rPr>
              <w:t xml:space="preserve"> — a long list gives a veto over ordinary operations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Information rights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Monthly management accounts; annual audited accounts; annual budget</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Reasonable and normal</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Founder commitment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Full time; </w:t>
            </w:r>
            <w:r>
              <w:rPr>
                <w:rFonts w:ascii="Calibri" w:cs="Calibri" w:eastAsia="Calibri" w:hAnsi="Calibri"/>
                <w:b/>
                <w:bCs/>
                <w:sz w:val="17"/>
                <w:szCs w:val="17"/>
              </w:rPr>
              <w:t xml:space="preserve">[12]</w:t>
            </w:r>
            <w:r>
              <w:rPr>
                <w:rFonts w:ascii="Calibri" w:cs="Calibri" w:eastAsia="Calibri" w:hAnsi="Calibri"/>
                <w:sz w:val="17"/>
                <w:szCs w:val="17"/>
              </w:rPr>
              <w:t xml:space="preserve"> months notice; vesting per Section 5</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Investors will require this</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Non-compete for founders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[DEFINE NARROWLY]</w:t>
            </w:r>
          </w:p>
        </w:tc>
        <w:tc>
          <w:tcPr>
            <w:tcW w:type="dxa" w:w="4242"/>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Enforceable in Singapore only so far as reasonable</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Reserved matters matter more than board seats. A minority investor with a veto over budgets, hiring, borrowing and any material contract controls the company regardless of how the board is composed. Negotiate the list, not just the seats — and push thresholds high enough that ordinary operations do not require consent.</w:t>
      </w:r>
    </w:p>
    <w:p>
      <w:pPr>
        <w:keepNext/>
        <w:spacing w:after="120" w:before="280"/>
        <w:outlineLvl w:val="0"/>
      </w:pPr>
      <w:r>
        <w:rPr>
          <w:rFonts w:ascii="Calibri" w:cs="Calibri" w:eastAsia="Calibri" w:hAnsi="Calibri"/>
          <w:b/>
          <w:bCs/>
          <w:color w:val="14161B"/>
          <w:sz w:val="22"/>
          <w:szCs w:val="22"/>
        </w:rPr>
        <w:t xml:space="preserve">5. FOUNDER TERMS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Founder vesting.</w:t>
      </w:r>
      <w:r>
        <w:rPr>
          <w:rFonts w:ascii="Calibri" w:cs="Calibri" w:eastAsia="Calibri" w:hAnsi="Calibri"/>
          <w:sz w:val="21"/>
          <w:szCs w:val="21"/>
        </w:rPr>
        <w:t xml:space="preserve"> Founder shares to vest over </w:t>
      </w:r>
      <w:r>
        <w:rPr>
          <w:rFonts w:ascii="Calibri" w:cs="Calibri" w:eastAsia="Calibri" w:hAnsi="Calibri"/>
          <w:b/>
          <w:bCs/>
          <w:sz w:val="21"/>
          <w:szCs w:val="21"/>
        </w:rPr>
        <w:t xml:space="preserve">[4]</w:t>
      </w:r>
      <w:r>
        <w:rPr>
          <w:rFonts w:ascii="Calibri" w:cs="Calibri" w:eastAsia="Calibri" w:hAnsi="Calibri"/>
          <w:sz w:val="21"/>
          <w:szCs w:val="21"/>
        </w:rPr>
        <w:t xml:space="preserve"> years, with </w:t>
      </w:r>
      <w:r>
        <w:rPr>
          <w:rFonts w:ascii="Calibri" w:cs="Calibri" w:eastAsia="Calibri" w:hAnsi="Calibri"/>
          <w:b/>
          <w:bCs/>
          <w:sz w:val="21"/>
          <w:szCs w:val="21"/>
        </w:rPr>
        <w:t xml:space="preserve">[12]</w:t>
      </w:r>
      <w:r>
        <w:rPr>
          <w:rFonts w:ascii="Calibri" w:cs="Calibri" w:eastAsia="Calibri" w:hAnsi="Calibri"/>
          <w:sz w:val="21"/>
          <w:szCs w:val="21"/>
        </w:rPr>
        <w:t xml:space="preserve"> months credited for time already served, and </w:t>
      </w:r>
      <w:r>
        <w:rPr>
          <w:rFonts w:ascii="Calibri" w:cs="Calibri" w:eastAsia="Calibri" w:hAnsi="Calibri"/>
          <w:b/>
          <w:bCs/>
          <w:sz w:val="21"/>
          <w:szCs w:val="21"/>
        </w:rPr>
        <w:t xml:space="preserve">[no cliff]</w:t>
      </w:r>
      <w:r>
        <w:rPr>
          <w:rFonts w:ascii="Calibri" w:cs="Calibri" w:eastAsia="Calibri" w:hAnsi="Calibri"/>
          <w:sz w:val="21"/>
          <w:szCs w:val="21"/>
        </w:rPr>
        <w:t xml:space="preserve">. Unvested shares subject to buyback at </w:t>
      </w:r>
      <w:r>
        <w:rPr>
          <w:rFonts w:ascii="Calibri" w:cs="Calibri" w:eastAsia="Calibri" w:hAnsi="Calibri"/>
          <w:b/>
          <w:bCs/>
          <w:sz w:val="21"/>
          <w:szCs w:val="21"/>
        </w:rPr>
        <w:t xml:space="preserve">[nominal value]</w:t>
      </w:r>
      <w:r>
        <w:rPr>
          <w:rFonts w:ascii="Calibri" w:cs="Calibri" w:eastAsia="Calibri" w:hAnsi="Calibri"/>
          <w:sz w:val="21"/>
          <w:szCs w:val="21"/>
        </w:rPr>
        <w:t xml:space="preserve"> on departure.</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Leaver provisions.</w:t>
      </w:r>
      <w:r>
        <w:rPr>
          <w:rFonts w:ascii="Calibri" w:cs="Calibri" w:eastAsia="Calibri" w:hAnsi="Calibri"/>
          <w:sz w:val="21"/>
          <w:szCs w:val="21"/>
        </w:rPr>
        <w:t xml:space="preserve"> Good leaver retains vested shares; bad leaver — defined narrowly as dismissal for cause, fraud or material breach — subject to buyback of vested shares at </w:t>
      </w:r>
      <w:r>
        <w:rPr>
          <w:rFonts w:ascii="Calibri" w:cs="Calibri" w:eastAsia="Calibri" w:hAnsi="Calibri"/>
          <w:b/>
          <w:bCs/>
          <w:sz w:val="21"/>
          <w:szCs w:val="21"/>
        </w:rPr>
        <w:t xml:space="preserve">[cost]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b/>
          <w:bCs/>
          <w:sz w:val="21"/>
          <w:szCs w:val="21"/>
        </w:rPr>
        <w:t xml:space="preserve">Intellectual property.</w:t>
      </w:r>
      <w:r>
        <w:rPr>
          <w:rFonts w:ascii="Calibri" w:cs="Calibri" w:eastAsia="Calibri" w:hAnsi="Calibri"/>
          <w:sz w:val="21"/>
          <w:szCs w:val="21"/>
        </w:rPr>
        <w:t xml:space="preserve"> All founders to assign to the Company any intellectual property created before incorporation that relates to the business.</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i/>
          <w:iCs/>
          <w:sz w:val="21"/>
          <w:szCs w:val="21"/>
        </w:rPr>
        <w:t xml:space="preserve">Credit for time served is negotiable and worth pursuing. Founders who have worked unpaid for two years should not restart a four-year clock at zero.</w:t>
      </w:r>
    </w:p>
    <w:p>
      <w:pPr>
        <w:keepNext/>
        <w:spacing w:after="120" w:before="280"/>
        <w:outlineLvl w:val="0"/>
      </w:pPr>
      <w:r>
        <w:rPr>
          <w:rFonts w:ascii="Calibri" w:cs="Calibri" w:eastAsia="Calibri" w:hAnsi="Calibri"/>
          <w:b/>
          <w:bCs/>
          <w:color w:val="14161B"/>
          <w:sz w:val="22"/>
          <w:szCs w:val="22"/>
        </w:rPr>
        <w:t xml:space="preserve">6. TRANSFER AND EXIT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313"/>
        <w:gridCol w:w="3276"/>
        <w:gridCol w:w="4049"/>
      </w:tblGrid>
      <w:tr>
        <w:trPr>
          <w:tblHeader/>
        </w:trPr>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Term</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Position</w:t>
            </w:r>
          </w:p>
        </w:tc>
        <w:tc>
          <w:tcPr>
            <w:tcW w:type="dxa" w:w="40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Pre-emption on transfer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Existing shareholders first</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Standard</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Tag-along</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Investor may join a founder sale, pro rata</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Protects the minority</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Drag-along</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a sale approved by </w:t>
            </w:r>
            <w:r>
              <w:rPr>
                <w:rFonts w:ascii="Calibri" w:cs="Calibri" w:eastAsia="Calibri" w:hAnsi="Calibri"/>
                <w:b/>
                <w:bCs/>
                <w:sz w:val="17"/>
                <w:szCs w:val="17"/>
              </w:rPr>
              <w:t xml:space="preserve">[holders of ______ per cent and the Investor]</w:t>
            </w:r>
            <w:r>
              <w:rPr>
                <w:rFonts w:ascii="Calibri" w:cs="Calibri" w:eastAsia="Calibri" w:hAnsi="Calibri"/>
                <w:sz w:val="17"/>
                <w:szCs w:val="17"/>
              </w:rPr>
              <w:t xml:space="preserve">, all must sell</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the threshold — it determines who can force an exit</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Right of first refusal on founder shares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[Company then Investor]</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Founders should seek a carve-out for family transfers</w:t>
            </w: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Lock-up on founder shares</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[Until ______]</w:t>
            </w:r>
          </w:p>
        </w:tc>
        <w:tc>
          <w:tcPr>
            <w:tcW w:type="dxa" w:w="4049"/>
            <w:tcMar>
              <w:top w:type="dxa" w:w="70"/>
              <w:left w:type="dxa" w:w="100"/>
              <w:bottom w:type="dxa" w:w="70"/>
              <w:right w:type="dxa" w:w="100"/>
            </w:tcMar>
            <w:vAlign w:val="center"/>
          </w:tcPr>
          <w:p>
            <w:pPr>
              <w:spacing w:after="0" w:line="240"/>
              <w:jc w:val="left"/>
            </w:pPr>
          </w:p>
        </w:tc>
      </w:tr>
      <w:tr>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Exit expectation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[Trade sale or listing within ______ years]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Aspirational rather than binding</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i/>
          <w:iCs/>
          <w:sz w:val="21"/>
          <w:szCs w:val="21"/>
        </w:rPr>
        <w:t xml:space="preserve">Drag-along is the clause founders read least carefully and regret most. Where the threshold allows the investor plus a small group to force a sale, founders can be compelled to sell at a price and time they would not choose. Check who can trigger it and at what majority.</w:t>
      </w:r>
    </w:p>
    <w:p>
      <w:pPr>
        <w:keepNext/>
        <w:spacing w:after="120" w:before="280"/>
        <w:outlineLvl w:val="0"/>
      </w:pPr>
      <w:r>
        <w:rPr>
          <w:rFonts w:ascii="Calibri" w:cs="Calibri" w:eastAsia="Calibri" w:hAnsi="Calibri"/>
          <w:b/>
          <w:bCs/>
          <w:color w:val="14161B"/>
          <w:sz w:val="22"/>
          <w:szCs w:val="22"/>
        </w:rPr>
        <w:t xml:space="preserve">7. CONDITIONS AND PROCESS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Completion is conditional on satisfactory legal, financial and technical due diligence; execution of the subscription agreement, shareholders’ agreement, amended constitution and founder documents; board and shareholder approvals; and no material adverse change.</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b/>
          <w:bCs/>
          <w:sz w:val="21"/>
          <w:szCs w:val="21"/>
        </w:rPr>
        <w:t xml:space="preserve">Exclusivity.</w:t>
      </w:r>
      <w:r>
        <w:rPr>
          <w:rFonts w:ascii="Calibri" w:cs="Calibri" w:eastAsia="Calibri" w:hAnsi="Calibri"/>
          <w:sz w:val="21"/>
          <w:szCs w:val="21"/>
        </w:rPr>
        <w:t xml:space="preserve"> The Company shall not solicit or negotiate with any other investor for </w:t>
      </w:r>
      <w:r>
        <w:rPr>
          <w:rFonts w:ascii="Calibri" w:cs="Calibri" w:eastAsia="Calibri" w:hAnsi="Calibri"/>
          <w:b/>
          <w:bCs/>
          <w:sz w:val="21"/>
          <w:szCs w:val="21"/>
        </w:rPr>
        <w:t xml:space="preserve">[45]</w:t>
      </w:r>
      <w:r>
        <w:rPr>
          <w:rFonts w:ascii="Calibri" w:cs="Calibri" w:eastAsia="Calibri" w:hAnsi="Calibri"/>
          <w:sz w:val="21"/>
          <w:szCs w:val="21"/>
        </w:rPr>
        <w:t xml:space="preserve"> days from the date of this term sheet. </w:t>
      </w:r>
      <w:r>
        <w:rPr>
          <w:rFonts w:ascii="Calibri" w:cs="Calibri" w:eastAsia="Calibri" w:hAnsi="Calibri"/>
          <w:b/>
          <w:bCs/>
          <w:sz w:val="21"/>
          <w:szCs w:val="21"/>
        </w:rPr>
        <w:t xml:space="preserve">This provision is binding.</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b/>
          <w:bCs/>
          <w:sz w:val="21"/>
          <w:szCs w:val="21"/>
        </w:rPr>
        <w:t xml:space="preserve">Confidentiality.</w:t>
      </w:r>
      <w:r>
        <w:rPr>
          <w:rFonts w:ascii="Calibri" w:cs="Calibri" w:eastAsia="Calibri" w:hAnsi="Calibri"/>
          <w:sz w:val="21"/>
          <w:szCs w:val="21"/>
        </w:rPr>
        <w:t xml:space="preserve"> The existence and terms of this term sheet are confidential. </w:t>
      </w:r>
      <w:r>
        <w:rPr>
          <w:rFonts w:ascii="Calibri" w:cs="Calibri" w:eastAsia="Calibri" w:hAnsi="Calibri"/>
          <w:b/>
          <w:bCs/>
          <w:sz w:val="21"/>
          <w:szCs w:val="21"/>
        </w:rPr>
        <w:t xml:space="preserve">This provision is binding.</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b/>
          <w:bCs/>
          <w:sz w:val="21"/>
          <w:szCs w:val="21"/>
        </w:rPr>
        <w:t xml:space="preserve">Costs.</w:t>
      </w:r>
      <w:r>
        <w:rPr>
          <w:rFonts w:ascii="Calibri" w:cs="Calibri" w:eastAsia="Calibri" w:hAnsi="Calibri"/>
          <w:sz w:val="21"/>
          <w:szCs w:val="21"/>
        </w:rPr>
        <w:t xml:space="preserve"> Each party bears its own costs, </w:t>
      </w:r>
      <w:r>
        <w:rPr>
          <w:rFonts w:ascii="Calibri" w:cs="Calibri" w:eastAsia="Calibri" w:hAnsi="Calibri"/>
          <w:b/>
          <w:bCs/>
          <w:sz w:val="21"/>
          <w:szCs w:val="21"/>
        </w:rPr>
        <w:t xml:space="preserve">[save that the Company shall pay the Investor’s reasonable legal costs up to S$ ______ on completion]</w:t>
      </w:r>
      <w:r>
        <w:rPr>
          <w:rFonts w:ascii="Calibri" w:cs="Calibri" w:eastAsia="Calibri" w:hAnsi="Calibri"/>
          <w:sz w:val="21"/>
          <w:szCs w:val="21"/>
        </w:rPr>
        <w:t xml:space="preserve">. </w:t>
      </w:r>
      <w:r>
        <w:rPr>
          <w:rFonts w:ascii="Calibri" w:cs="Calibri" w:eastAsia="Calibri" w:hAnsi="Calibri"/>
          <w:b/>
          <w:bCs/>
          <w:sz w:val="21"/>
          <w:szCs w:val="21"/>
        </w:rPr>
        <w:t xml:space="preserve">This provision is binding.</w:t>
      </w:r>
    </w:p>
    <w:p>
      <w:pPr>
        <w:spacing w:after="120" w:before="60" w:line="276"/>
        <w:ind w:left="720" w:hanging="720"/>
        <w:jc w:val="both"/>
      </w:pPr>
      <w:r>
        <w:rPr>
          <w:rFonts w:ascii="Calibri" w:cs="Calibri" w:eastAsia="Calibri" w:hAnsi="Calibri"/>
          <w:sz w:val="21"/>
          <w:szCs w:val="21"/>
        </w:rPr>
        <w:t xml:space="preserve">7.5	</w:t>
      </w:r>
      <w:r>
        <w:rPr>
          <w:rFonts w:ascii="Calibri" w:cs="Calibri" w:eastAsia="Calibri" w:hAnsi="Calibri"/>
          <w:sz w:val="21"/>
          <w:szCs w:val="21"/>
        </w:rPr>
        <w:t xml:space="preserve">The definitive documents shall be governed by Singapore law, with the Singapore courts having jurisdiction.</w:t>
      </w:r>
    </w:p>
    <w:p>
      <w:pPr>
        <w:spacing w:after="180"/>
      </w:pPr>
    </w:p>
    <w:p>
      <w:pPr>
        <w:spacing w:after="180" w:before="0" w:line="276"/>
        <w:jc w:val="both"/>
      </w:pPr>
      <w:r>
        <w:rPr>
          <w:rFonts w:ascii="Calibri" w:cs="Calibri" w:eastAsia="Calibri" w:hAnsi="Calibri"/>
          <w:sz w:val="21"/>
          <w:szCs w:val="21"/>
        </w:rPr>
        <w:t xml:space="preserve">Signed for identification only, and without creating any binding obligation save as stated in Clauses 7.2 to 7.4.</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[INVESTOR]</w:t>
            </w: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Reserved Matters — Negotiating Guide</w:t>
      </w:r>
    </w:p>
    <w:p>
      <w:pPr>
        <w:spacing w:after="140" w:before="0" w:line="276"/>
        <w:jc w:val="both"/>
      </w:pPr>
      <w:r>
        <w:rPr>
          <w:rFonts w:ascii="Calibri" w:cs="Calibri" w:eastAsia="Calibri" w:hAnsi="Calibri"/>
          <w:i/>
          <w:iCs/>
          <w:sz w:val="21"/>
          <w:szCs w:val="21"/>
        </w:rPr>
        <w:t xml:space="preserve">Each item requires investor consent. Mark which you accept, and set thresholds so that ordinary operations do not need consent.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855"/>
        <w:gridCol w:w="1542"/>
        <w:gridCol w:w="2505"/>
        <w:gridCol w:w="1351"/>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Matter</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Usually accepted</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Negotiate the threshold</w:t>
            </w:r>
          </w:p>
        </w:tc>
        <w:tc>
          <w:tcPr>
            <w:tcW w:type="dxa" w:w="13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Resist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Amending the constitution or share rights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t>
            </w:r>
          </w:p>
        </w:tc>
        <w:tc>
          <w:tcPr>
            <w:tcW w:type="dxa" w:w="2505"/>
            <w:tcMar>
              <w:top w:type="dxa" w:w="70"/>
              <w:left w:type="dxa" w:w="100"/>
              <w:bottom w:type="dxa" w:w="70"/>
              <w:right w:type="dxa" w:w="100"/>
            </w:tcMar>
            <w:vAlign w:val="center"/>
          </w:tcPr>
          <w:p>
            <w:pPr>
              <w:spacing w:after="0" w:line="240"/>
              <w:jc w:val="left"/>
            </w:pPr>
          </w:p>
        </w:tc>
        <w:tc>
          <w:tcPr>
            <w:tcW w:type="dxa" w:w="1351"/>
            <w:tcMar>
              <w:top w:type="dxa" w:w="70"/>
              <w:left w:type="dxa" w:w="100"/>
              <w:bottom w:type="dxa" w:w="70"/>
              <w:right w:type="dxa" w:w="100"/>
            </w:tcMar>
            <w:vAlign w:val="center"/>
          </w:tcPr>
          <w:p>
            <w:pPr>
              <w:spacing w:after="0" w:line="240"/>
              <w:jc w:val="left"/>
            </w:pP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Issuing new shares or creating a new class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t>
            </w:r>
          </w:p>
        </w:tc>
        <w:tc>
          <w:tcPr>
            <w:tcW w:type="dxa" w:w="2505"/>
            <w:tcMar>
              <w:top w:type="dxa" w:w="70"/>
              <w:left w:type="dxa" w:w="100"/>
              <w:bottom w:type="dxa" w:w="70"/>
              <w:right w:type="dxa" w:w="100"/>
            </w:tcMar>
            <w:vAlign w:val="center"/>
          </w:tcPr>
          <w:p>
            <w:pPr>
              <w:spacing w:after="0" w:line="240"/>
              <w:jc w:val="left"/>
            </w:pPr>
          </w:p>
        </w:tc>
        <w:tc>
          <w:tcPr>
            <w:tcW w:type="dxa" w:w="1351"/>
            <w:tcMar>
              <w:top w:type="dxa" w:w="70"/>
              <w:left w:type="dxa" w:w="100"/>
              <w:bottom w:type="dxa" w:w="70"/>
              <w:right w:type="dxa" w:w="100"/>
            </w:tcMar>
            <w:vAlign w:val="center"/>
          </w:tcPr>
          <w:p>
            <w:pPr>
              <w:spacing w:after="0" w:line="240"/>
              <w:jc w:val="left"/>
            </w:pP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Increasing the option pool</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t>
            </w:r>
          </w:p>
        </w:tc>
        <w:tc>
          <w:tcPr>
            <w:tcW w:type="dxa" w:w="2505"/>
            <w:tcMar>
              <w:top w:type="dxa" w:w="70"/>
              <w:left w:type="dxa" w:w="100"/>
              <w:bottom w:type="dxa" w:w="70"/>
              <w:right w:type="dxa" w:w="100"/>
            </w:tcMar>
            <w:vAlign w:val="center"/>
          </w:tcPr>
          <w:p>
            <w:pPr>
              <w:spacing w:after="0" w:line="240"/>
              <w:jc w:val="left"/>
            </w:pPr>
          </w:p>
        </w:tc>
        <w:tc>
          <w:tcPr>
            <w:tcW w:type="dxa" w:w="1351"/>
            <w:tcMar>
              <w:top w:type="dxa" w:w="70"/>
              <w:left w:type="dxa" w:w="100"/>
              <w:bottom w:type="dxa" w:w="70"/>
              <w:right w:type="dxa" w:w="100"/>
            </w:tcMar>
            <w:vAlign w:val="center"/>
          </w:tcPr>
          <w:p>
            <w:pPr>
              <w:spacing w:after="0" w:line="240"/>
              <w:jc w:val="left"/>
            </w:pP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Winding up, merger, or sale of the business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t>
            </w:r>
          </w:p>
        </w:tc>
        <w:tc>
          <w:tcPr>
            <w:tcW w:type="dxa" w:w="2505"/>
            <w:tcMar>
              <w:top w:type="dxa" w:w="70"/>
              <w:left w:type="dxa" w:w="100"/>
              <w:bottom w:type="dxa" w:w="70"/>
              <w:right w:type="dxa" w:w="100"/>
            </w:tcMar>
            <w:vAlign w:val="center"/>
          </w:tcPr>
          <w:p>
            <w:pPr>
              <w:spacing w:after="0" w:line="240"/>
              <w:jc w:val="left"/>
            </w:pPr>
          </w:p>
        </w:tc>
        <w:tc>
          <w:tcPr>
            <w:tcW w:type="dxa" w:w="1351"/>
            <w:tcMar>
              <w:top w:type="dxa" w:w="70"/>
              <w:left w:type="dxa" w:w="100"/>
              <w:bottom w:type="dxa" w:w="70"/>
              <w:right w:type="dxa" w:w="100"/>
            </w:tcMar>
            <w:vAlign w:val="center"/>
          </w:tcPr>
          <w:p>
            <w:pPr>
              <w:spacing w:after="0" w:line="240"/>
              <w:jc w:val="left"/>
            </w:pP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Changing the nature of the business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t>
            </w:r>
          </w:p>
        </w:tc>
        <w:tc>
          <w:tcPr>
            <w:tcW w:type="dxa" w:w="2505"/>
            <w:tcMar>
              <w:top w:type="dxa" w:w="70"/>
              <w:left w:type="dxa" w:w="100"/>
              <w:bottom w:type="dxa" w:w="70"/>
              <w:right w:type="dxa" w:w="100"/>
            </w:tcMar>
            <w:vAlign w:val="center"/>
          </w:tcPr>
          <w:p>
            <w:pPr>
              <w:spacing w:after="0" w:line="240"/>
              <w:jc w:val="left"/>
            </w:pPr>
          </w:p>
        </w:tc>
        <w:tc>
          <w:tcPr>
            <w:tcW w:type="dxa" w:w="1351"/>
            <w:tcMar>
              <w:top w:type="dxa" w:w="70"/>
              <w:left w:type="dxa" w:w="100"/>
              <w:bottom w:type="dxa" w:w="70"/>
              <w:right w:type="dxa" w:w="100"/>
            </w:tcMar>
            <w:vAlign w:val="center"/>
          </w:tcPr>
          <w:p>
            <w:pPr>
              <w:spacing w:after="0" w:line="240"/>
              <w:jc w:val="left"/>
            </w:pP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Declaring dividends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t>
            </w:r>
          </w:p>
        </w:tc>
        <w:tc>
          <w:tcPr>
            <w:tcW w:type="dxa" w:w="2505"/>
            <w:tcMar>
              <w:top w:type="dxa" w:w="70"/>
              <w:left w:type="dxa" w:w="100"/>
              <w:bottom w:type="dxa" w:w="70"/>
              <w:right w:type="dxa" w:w="100"/>
            </w:tcMar>
            <w:vAlign w:val="center"/>
          </w:tcPr>
          <w:p>
            <w:pPr>
              <w:spacing w:after="0" w:line="240"/>
              <w:jc w:val="left"/>
            </w:pPr>
          </w:p>
        </w:tc>
        <w:tc>
          <w:tcPr>
            <w:tcW w:type="dxa" w:w="1351"/>
            <w:tcMar>
              <w:top w:type="dxa" w:w="70"/>
              <w:left w:type="dxa" w:w="100"/>
              <w:bottom w:type="dxa" w:w="70"/>
              <w:right w:type="dxa" w:w="100"/>
            </w:tcMar>
            <w:vAlign w:val="center"/>
          </w:tcPr>
          <w:p>
            <w:pPr>
              <w:spacing w:after="0" w:line="240"/>
              <w:jc w:val="left"/>
            </w:pP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Borrowing above a threshold</w:t>
            </w:r>
          </w:p>
        </w:tc>
        <w:tc>
          <w:tcPr>
            <w:tcW w:type="dxa" w:w="1542"/>
            <w:tcMar>
              <w:top w:type="dxa" w:w="70"/>
              <w:left w:type="dxa" w:w="100"/>
              <w:bottom w:type="dxa" w:w="70"/>
              <w:right w:type="dxa" w:w="100"/>
            </w:tcMar>
            <w:vAlign w:val="center"/>
          </w:tcPr>
          <w:p>
            <w:pPr>
              <w:spacing w:after="0" w:line="240"/>
              <w:jc w:val="left"/>
            </w:pP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Set it high</w:t>
            </w:r>
          </w:p>
        </w:tc>
        <w:tc>
          <w:tcPr>
            <w:tcW w:type="dxa" w:w="1351"/>
            <w:tcMar>
              <w:top w:type="dxa" w:w="70"/>
              <w:left w:type="dxa" w:w="100"/>
              <w:bottom w:type="dxa" w:w="70"/>
              <w:right w:type="dxa" w:w="100"/>
            </w:tcMar>
            <w:vAlign w:val="center"/>
          </w:tcPr>
          <w:p>
            <w:pPr>
              <w:spacing w:after="0" w:line="240"/>
              <w:jc w:val="left"/>
            </w:pP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Granting security</w:t>
            </w:r>
          </w:p>
        </w:tc>
        <w:tc>
          <w:tcPr>
            <w:tcW w:type="dxa" w:w="1542"/>
            <w:tcMar>
              <w:top w:type="dxa" w:w="70"/>
              <w:left w:type="dxa" w:w="100"/>
              <w:bottom w:type="dxa" w:w="70"/>
              <w:right w:type="dxa" w:w="100"/>
            </w:tcMar>
            <w:vAlign w:val="center"/>
          </w:tcPr>
          <w:p>
            <w:pPr>
              <w:spacing w:after="0" w:line="240"/>
              <w:jc w:val="left"/>
            </w:pP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Set it high</w:t>
            </w:r>
          </w:p>
        </w:tc>
        <w:tc>
          <w:tcPr>
            <w:tcW w:type="dxa" w:w="1351"/>
            <w:tcMar>
              <w:top w:type="dxa" w:w="70"/>
              <w:left w:type="dxa" w:w="100"/>
              <w:bottom w:type="dxa" w:w="70"/>
              <w:right w:type="dxa" w:w="100"/>
            </w:tcMar>
            <w:vAlign w:val="center"/>
          </w:tcPr>
          <w:p>
            <w:pPr>
              <w:spacing w:after="0" w:line="240"/>
              <w:jc w:val="left"/>
            </w:pP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9</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Capital expenditure above a threshold</w:t>
            </w:r>
          </w:p>
        </w:tc>
        <w:tc>
          <w:tcPr>
            <w:tcW w:type="dxa" w:w="1542"/>
            <w:tcMar>
              <w:top w:type="dxa" w:w="70"/>
              <w:left w:type="dxa" w:w="100"/>
              <w:bottom w:type="dxa" w:w="70"/>
              <w:right w:type="dxa" w:w="100"/>
            </w:tcMar>
            <w:vAlign w:val="center"/>
          </w:tcPr>
          <w:p>
            <w:pPr>
              <w:spacing w:after="0" w:line="240"/>
              <w:jc w:val="left"/>
            </w:pP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Set it high</w:t>
            </w:r>
          </w:p>
        </w:tc>
        <w:tc>
          <w:tcPr>
            <w:tcW w:type="dxa" w:w="1351"/>
            <w:tcMar>
              <w:top w:type="dxa" w:w="70"/>
              <w:left w:type="dxa" w:w="100"/>
              <w:bottom w:type="dxa" w:w="70"/>
              <w:right w:type="dxa" w:w="100"/>
            </w:tcMar>
            <w:vAlign w:val="center"/>
          </w:tcPr>
          <w:p>
            <w:pPr>
              <w:spacing w:after="0" w:line="240"/>
              <w:jc w:val="left"/>
            </w:pP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10</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Entering a contract above a value threshold</w:t>
            </w:r>
          </w:p>
        </w:tc>
        <w:tc>
          <w:tcPr>
            <w:tcW w:type="dxa" w:w="1542"/>
            <w:tcMar>
              <w:top w:type="dxa" w:w="70"/>
              <w:left w:type="dxa" w:w="100"/>
              <w:bottom w:type="dxa" w:w="70"/>
              <w:right w:type="dxa" w:w="100"/>
            </w:tcMar>
            <w:vAlign w:val="center"/>
          </w:tcPr>
          <w:p>
            <w:pPr>
              <w:spacing w:after="0" w:line="240"/>
              <w:jc w:val="left"/>
            </w:pP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Set it high</w:t>
            </w:r>
          </w:p>
        </w:tc>
        <w:tc>
          <w:tcPr>
            <w:tcW w:type="dxa" w:w="1351"/>
            <w:tcMar>
              <w:top w:type="dxa" w:w="70"/>
              <w:left w:type="dxa" w:w="100"/>
              <w:bottom w:type="dxa" w:w="70"/>
              <w:right w:type="dxa" w:w="100"/>
            </w:tcMar>
            <w:vAlign w:val="center"/>
          </w:tcPr>
          <w:p>
            <w:pPr>
              <w:spacing w:after="0" w:line="240"/>
              <w:jc w:val="left"/>
            </w:pP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Related party transactions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t>
            </w:r>
          </w:p>
        </w:tc>
        <w:tc>
          <w:tcPr>
            <w:tcW w:type="dxa" w:w="2505"/>
            <w:tcMar>
              <w:top w:type="dxa" w:w="70"/>
              <w:left w:type="dxa" w:w="100"/>
              <w:bottom w:type="dxa" w:w="70"/>
              <w:right w:type="dxa" w:w="100"/>
            </w:tcMar>
            <w:vAlign w:val="center"/>
          </w:tcPr>
          <w:p>
            <w:pPr>
              <w:spacing w:after="0" w:line="240"/>
              <w:jc w:val="left"/>
            </w:pPr>
          </w:p>
        </w:tc>
        <w:tc>
          <w:tcPr>
            <w:tcW w:type="dxa" w:w="1351"/>
            <w:tcMar>
              <w:top w:type="dxa" w:w="70"/>
              <w:left w:type="dxa" w:w="100"/>
              <w:bottom w:type="dxa" w:w="70"/>
              <w:right w:type="dxa" w:w="100"/>
            </w:tcMar>
            <w:vAlign w:val="center"/>
          </w:tcPr>
          <w:p>
            <w:pPr>
              <w:spacing w:after="0" w:line="240"/>
              <w:jc w:val="left"/>
            </w:pP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Appointing or removing directors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[Depends]</w:t>
            </w:r>
          </w:p>
        </w:tc>
        <w:tc>
          <w:tcPr>
            <w:tcW w:type="dxa" w:w="2505"/>
            <w:tcMar>
              <w:top w:type="dxa" w:w="70"/>
              <w:left w:type="dxa" w:w="100"/>
              <w:bottom w:type="dxa" w:w="70"/>
              <w:right w:type="dxa" w:w="100"/>
            </w:tcMar>
            <w:vAlign w:val="center"/>
          </w:tcPr>
          <w:p>
            <w:pPr>
              <w:spacing w:after="0" w:line="240"/>
              <w:jc w:val="left"/>
            </w:pPr>
          </w:p>
        </w:tc>
        <w:tc>
          <w:tcPr>
            <w:tcW w:type="dxa" w:w="1351"/>
            <w:tcMar>
              <w:top w:type="dxa" w:w="70"/>
              <w:left w:type="dxa" w:w="100"/>
              <w:bottom w:type="dxa" w:w="70"/>
              <w:right w:type="dxa" w:w="100"/>
            </w:tcMar>
            <w:vAlign w:val="center"/>
          </w:tcPr>
          <w:p>
            <w:pPr>
              <w:spacing w:after="0" w:line="240"/>
              <w:jc w:val="left"/>
            </w:pP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Approving the annual budget</w:t>
            </w:r>
          </w:p>
        </w:tc>
        <w:tc>
          <w:tcPr>
            <w:tcW w:type="dxa" w:w="1542"/>
            <w:tcMar>
              <w:top w:type="dxa" w:w="70"/>
              <w:left w:type="dxa" w:w="100"/>
              <w:bottom w:type="dxa" w:w="70"/>
              <w:right w:type="dxa" w:w="100"/>
            </w:tcMar>
            <w:vAlign w:val="center"/>
          </w:tcPr>
          <w:p>
            <w:pPr>
              <w:spacing w:after="0" w:line="240"/>
              <w:jc w:val="left"/>
            </w:pP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[Approve, or deemed approved if not rejected in 14 days]</w:t>
            </w:r>
          </w:p>
        </w:tc>
        <w:tc>
          <w:tcPr>
            <w:tcW w:type="dxa" w:w="1351"/>
            <w:tcMar>
              <w:top w:type="dxa" w:w="70"/>
              <w:left w:type="dxa" w:w="100"/>
              <w:bottom w:type="dxa" w:w="70"/>
              <w:right w:type="dxa" w:w="100"/>
            </w:tcMar>
            <w:vAlign w:val="center"/>
          </w:tcPr>
          <w:p>
            <w:pPr>
              <w:spacing w:after="0" w:line="240"/>
              <w:jc w:val="left"/>
            </w:pP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Hiring or dismissing employees above a salary threshold</w:t>
            </w:r>
          </w:p>
        </w:tc>
        <w:tc>
          <w:tcPr>
            <w:tcW w:type="dxa" w:w="1542"/>
            <w:tcMar>
              <w:top w:type="dxa" w:w="70"/>
              <w:left w:type="dxa" w:w="100"/>
              <w:bottom w:type="dxa" w:w="70"/>
              <w:right w:type="dxa" w:w="100"/>
            </w:tcMar>
            <w:vAlign w:val="center"/>
          </w:tcPr>
          <w:p>
            <w:pPr>
              <w:spacing w:after="0" w:line="240"/>
              <w:jc w:val="left"/>
            </w:pP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Senior only</w:t>
            </w:r>
          </w:p>
        </w:tc>
        <w:tc>
          <w:tcPr>
            <w:tcW w:type="dxa" w:w="1351"/>
            <w:tcMar>
              <w:top w:type="dxa" w:w="70"/>
              <w:left w:type="dxa" w:w="100"/>
              <w:bottom w:type="dxa" w:w="70"/>
              <w:right w:type="dxa" w:w="100"/>
            </w:tcMar>
            <w:vAlign w:val="center"/>
          </w:tcPr>
          <w:p>
            <w:pPr>
              <w:spacing w:after="0" w:line="240"/>
              <w:jc w:val="left"/>
            </w:pP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15</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Any hiring at all</w:t>
            </w:r>
          </w:p>
        </w:tc>
        <w:tc>
          <w:tcPr>
            <w:tcW w:type="dxa" w:w="1542"/>
            <w:tcMar>
              <w:top w:type="dxa" w:w="70"/>
              <w:left w:type="dxa" w:w="100"/>
              <w:bottom w:type="dxa" w:w="70"/>
              <w:right w:type="dxa" w:w="100"/>
            </w:tcMar>
            <w:vAlign w:val="center"/>
          </w:tcPr>
          <w:p>
            <w:pPr>
              <w:spacing w:after="0" w:line="240"/>
              <w:jc w:val="left"/>
            </w:pPr>
          </w:p>
        </w:tc>
        <w:tc>
          <w:tcPr>
            <w:tcW w:type="dxa" w:w="2505"/>
            <w:tcMar>
              <w:top w:type="dxa" w:w="70"/>
              <w:left w:type="dxa" w:w="100"/>
              <w:bottom w:type="dxa" w:w="70"/>
              <w:right w:type="dxa" w:w="100"/>
            </w:tcMar>
            <w:vAlign w:val="center"/>
          </w:tcPr>
          <w:p>
            <w:pPr>
              <w:spacing w:after="0" w:line="240"/>
              <w:jc w:val="left"/>
            </w:pP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Resist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16</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Ordinary course marketing or procurement spend</w:t>
            </w:r>
          </w:p>
        </w:tc>
        <w:tc>
          <w:tcPr>
            <w:tcW w:type="dxa" w:w="1542"/>
            <w:tcMar>
              <w:top w:type="dxa" w:w="70"/>
              <w:left w:type="dxa" w:w="100"/>
              <w:bottom w:type="dxa" w:w="70"/>
              <w:right w:type="dxa" w:w="100"/>
            </w:tcMar>
            <w:vAlign w:val="center"/>
          </w:tcPr>
          <w:p>
            <w:pPr>
              <w:spacing w:after="0" w:line="240"/>
              <w:jc w:val="left"/>
            </w:pPr>
          </w:p>
        </w:tc>
        <w:tc>
          <w:tcPr>
            <w:tcW w:type="dxa" w:w="2505"/>
            <w:tcMar>
              <w:top w:type="dxa" w:w="70"/>
              <w:left w:type="dxa" w:w="100"/>
              <w:bottom w:type="dxa" w:w="70"/>
              <w:right w:type="dxa" w:w="100"/>
            </w:tcMar>
            <w:vAlign w:val="center"/>
          </w:tcPr>
          <w:p>
            <w:pPr>
              <w:spacing w:after="0" w:line="240"/>
              <w:jc w:val="left"/>
            </w:pP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Resist</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Changing auditors or accounting policies</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t>
            </w:r>
          </w:p>
        </w:tc>
        <w:tc>
          <w:tcPr>
            <w:tcW w:type="dxa" w:w="2505"/>
            <w:tcMar>
              <w:top w:type="dxa" w:w="70"/>
              <w:left w:type="dxa" w:w="100"/>
              <w:bottom w:type="dxa" w:w="70"/>
              <w:right w:type="dxa" w:w="100"/>
            </w:tcMar>
            <w:vAlign w:val="center"/>
          </w:tcPr>
          <w:p>
            <w:pPr>
              <w:spacing w:after="0" w:line="240"/>
              <w:jc w:val="left"/>
            </w:pPr>
          </w:p>
        </w:tc>
        <w:tc>
          <w:tcPr>
            <w:tcW w:type="dxa" w:w="1351"/>
            <w:tcMar>
              <w:top w:type="dxa" w:w="70"/>
              <w:left w:type="dxa" w:w="100"/>
              <w:bottom w:type="dxa" w:w="70"/>
              <w:right w:type="dxa" w:w="100"/>
            </w:tcMar>
            <w:vAlign w:val="center"/>
          </w:tcPr>
          <w:p>
            <w:pPr>
              <w:spacing w:after="0" w:line="240"/>
              <w:jc w:val="left"/>
            </w:pP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Litigation above a threshold</w:t>
            </w:r>
          </w:p>
        </w:tc>
        <w:tc>
          <w:tcPr>
            <w:tcW w:type="dxa" w:w="1542"/>
            <w:tcMar>
              <w:top w:type="dxa" w:w="70"/>
              <w:left w:type="dxa" w:w="100"/>
              <w:bottom w:type="dxa" w:w="70"/>
              <w:right w:type="dxa" w:w="100"/>
            </w:tcMar>
            <w:vAlign w:val="center"/>
          </w:tcPr>
          <w:p>
            <w:pPr>
              <w:spacing w:after="0" w:line="240"/>
              <w:jc w:val="left"/>
            </w:pP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[Set it]</w:t>
            </w:r>
          </w:p>
        </w:tc>
        <w:tc>
          <w:tcPr>
            <w:tcW w:type="dxa" w:w="1351"/>
            <w:tcMar>
              <w:top w:type="dxa" w:w="70"/>
              <w:left w:type="dxa" w:w="100"/>
              <w:bottom w:type="dxa" w:w="70"/>
              <w:right w:type="dxa" w:w="100"/>
            </w:tcMar>
            <w:vAlign w:val="center"/>
          </w:tcPr>
          <w:p>
            <w:pPr>
              <w:spacing w:after="0" w:line="240"/>
              <w:jc w:val="left"/>
            </w:pP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Exit Waterfall Illustration</w:t>
      </w:r>
    </w:p>
    <w:p>
      <w:pPr>
        <w:spacing w:after="140" w:before="0" w:line="276"/>
        <w:jc w:val="both"/>
      </w:pPr>
      <w:r>
        <w:rPr>
          <w:rFonts w:ascii="Calibri" w:cs="Calibri" w:eastAsia="Calibri" w:hAnsi="Calibri"/>
          <w:i/>
          <w:iCs/>
          <w:sz w:val="21"/>
          <w:szCs w:val="21"/>
        </w:rPr>
        <w:t xml:space="preserve">Model this before agreeing the preference. The numbers change founder outcomes dramatically at modest exit values.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927"/>
        <w:gridCol w:w="1927"/>
        <w:gridCol w:w="1927"/>
        <w:gridCol w:w="1927"/>
        <w:gridCol w:w="1930"/>
      </w:tblGrid>
      <w:tr>
        <w:trPr>
          <w:tblHeader/>
        </w:trPr>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Exit value (S$)</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1x non-participating — investor</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1x non-participating — founders</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1x participating — investor</w:t>
            </w:r>
          </w:p>
        </w:tc>
        <w:tc>
          <w:tcPr>
            <w:tcW w:type="dxa" w:w="193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1x participating — founders</w:t>
            </w:r>
          </w:p>
        </w:tc>
      </w:tr>
      <w:tr>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[5m]</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30"/>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[10m]</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30"/>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[25m]</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30"/>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[50m]</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30"/>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r>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[100m]</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930"/>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Start from VIMA</w:t>
      </w:r>
    </w:p>
    <w:p>
      <w:pPr>
        <w:spacing w:after="60" w:line="264"/>
        <w:jc w:val="both"/>
      </w:pPr>
      <w:r>
        <w:rPr>
          <w:rFonts w:ascii="Calibri" w:cs="Calibri" w:eastAsia="Calibri" w:hAnsi="Calibri"/>
          <w:sz w:val="19"/>
          <w:szCs w:val="19"/>
        </w:rPr>
        <w:t xml:space="preserve">The Singapore Academy of Law and the Singapore Venture Capital and Private Equity Association publish the Venture Capital Investment Model Agreements free — term sheets, subscription agreement, shareholders’ agreement, convertible instruments and a model constitution, all Singapore law and all with drafting notes. Investors and their counsel will recognise them, which shortens negotiation. Use them as the base and use this document to understand what you are agreeing.</w:t>
      </w:r>
    </w:p>
    <w:p>
      <w:pPr>
        <w:keepNext/>
        <w:spacing w:after="40" w:before="140"/>
      </w:pPr>
      <w:r>
        <w:rPr>
          <w:rFonts w:ascii="Calibri" w:cs="Calibri" w:eastAsia="Calibri" w:hAnsi="Calibri"/>
          <w:b/>
          <w:bCs/>
          <w:color w:val="14161B"/>
          <w:sz w:val="20"/>
          <w:szCs w:val="20"/>
        </w:rPr>
        <w:t xml:space="preserve">Say it is not binding</w:t>
      </w:r>
    </w:p>
    <w:p>
      <w:pPr>
        <w:spacing w:after="60" w:line="264"/>
        <w:jc w:val="both"/>
      </w:pPr>
      <w:r>
        <w:rPr>
          <w:rFonts w:ascii="Calibri" w:cs="Calibri" w:eastAsia="Calibri" w:hAnsi="Calibri"/>
          <w:sz w:val="19"/>
          <w:szCs w:val="19"/>
        </w:rPr>
        <w:t xml:space="preserve">A detailed term sheet without a clear non-binding statement invites an argument that a contract was formed, particularly where the parties then act as though bound. Clause 1.1 states it, and carves out the three provisions that genuinely are binding.</w:t>
      </w:r>
    </w:p>
    <w:p>
      <w:pPr>
        <w:keepNext/>
        <w:spacing w:after="40" w:before="140"/>
      </w:pPr>
      <w:r>
        <w:rPr>
          <w:rFonts w:ascii="Calibri" w:cs="Calibri" w:eastAsia="Calibri" w:hAnsi="Calibri"/>
          <w:b/>
          <w:bCs/>
          <w:color w:val="14161B"/>
          <w:sz w:val="20"/>
          <w:szCs w:val="20"/>
        </w:rPr>
        <w:t xml:space="preserve">The option pool is where founders lose value quietly</w:t>
      </w:r>
    </w:p>
    <w:p>
      <w:pPr>
        <w:spacing w:after="60" w:line="264"/>
        <w:jc w:val="both"/>
      </w:pPr>
      <w:r>
        <w:rPr>
          <w:rFonts w:ascii="Calibri" w:cs="Calibri" w:eastAsia="Calibri" w:hAnsi="Calibri"/>
          <w:sz w:val="19"/>
          <w:szCs w:val="19"/>
        </w:rPr>
        <w:t xml:space="preserve">A pool created inside the pre-money valuation dilutes existing shareholders only — the investor’s percentage is unchanged whatever its size. That means the investor has no reason to keep it small, and founders bear all of it. Model both treatments before agreeing, and note that reducing an oversized pre-money pool is often worth more than a valuation argument.</w:t>
      </w:r>
    </w:p>
    <w:p>
      <w:pPr>
        <w:keepNext/>
        <w:spacing w:after="40" w:before="140"/>
      </w:pPr>
      <w:r>
        <w:rPr>
          <w:rFonts w:ascii="Calibri" w:cs="Calibri" w:eastAsia="Calibri" w:hAnsi="Calibri"/>
          <w:b/>
          <w:bCs/>
          <w:color w:val="14161B"/>
          <w:sz w:val="20"/>
          <w:szCs w:val="20"/>
        </w:rPr>
        <w:t xml:space="preserve">Liquidation preference matters more than valuation at modest exits</w:t>
      </w:r>
    </w:p>
    <w:p>
      <w:pPr>
        <w:spacing w:after="60" w:line="264"/>
        <w:jc w:val="both"/>
      </w:pPr>
      <w:r>
        <w:rPr>
          <w:rFonts w:ascii="Calibri" w:cs="Calibri" w:eastAsia="Calibri" w:hAnsi="Calibri"/>
          <w:sz w:val="19"/>
          <w:szCs w:val="19"/>
        </w:rPr>
        <w:t xml:space="preserve">A higher valuation with a participating preference can leave founders worse off than a lower valuation with a 1x non-participating preference. Schedule 2 exists to make that concrete. Model the waterfall at realistic exit values, not just the optimistic one.</w:t>
      </w:r>
    </w:p>
    <w:p>
      <w:pPr>
        <w:keepNext/>
        <w:spacing w:after="40" w:before="140"/>
      </w:pPr>
      <w:r>
        <w:rPr>
          <w:rFonts w:ascii="Calibri" w:cs="Calibri" w:eastAsia="Calibri" w:hAnsi="Calibri"/>
          <w:b/>
          <w:bCs/>
          <w:color w:val="14161B"/>
          <w:sz w:val="20"/>
          <w:szCs w:val="20"/>
        </w:rPr>
        <w:t xml:space="preserve">Full ratchet anti-dilution is severe</w:t>
      </w:r>
    </w:p>
    <w:p>
      <w:pPr>
        <w:spacing w:after="60" w:line="264"/>
        <w:jc w:val="both"/>
      </w:pPr>
      <w:r>
        <w:rPr>
          <w:rFonts w:ascii="Calibri" w:cs="Calibri" w:eastAsia="Calibri" w:hAnsi="Calibri"/>
          <w:sz w:val="19"/>
          <w:szCs w:val="19"/>
        </w:rPr>
        <w:t xml:space="preserve">Broad-based weighted average adjusts proportionately to the size of a down round. Full ratchet reprices the investor’s entire holding as if it had invested at the lower price, which at a small down round can be extremely dilutive to founders. Broad-based weighted average is the market standard and worth holding out for.</w:t>
      </w:r>
    </w:p>
    <w:p>
      <w:pPr>
        <w:keepNext/>
        <w:spacing w:after="40" w:before="140"/>
      </w:pPr>
      <w:r>
        <w:rPr>
          <w:rFonts w:ascii="Calibri" w:cs="Calibri" w:eastAsia="Calibri" w:hAnsi="Calibri"/>
          <w:b/>
          <w:bCs/>
          <w:color w:val="14161B"/>
          <w:sz w:val="20"/>
          <w:szCs w:val="20"/>
        </w:rPr>
        <w:t xml:space="preserve">Reserved matters are the real control</w:t>
      </w:r>
    </w:p>
    <w:p>
      <w:pPr>
        <w:spacing w:after="60" w:line="264"/>
        <w:jc w:val="both"/>
      </w:pPr>
      <w:r>
        <w:rPr>
          <w:rFonts w:ascii="Calibri" w:cs="Calibri" w:eastAsia="Calibri" w:hAnsi="Calibri"/>
          <w:sz w:val="19"/>
          <w:szCs w:val="19"/>
        </w:rPr>
        <w:t xml:space="preserve">A minority investor with a veto over budgets, hiring, borrowing and material contracts controls the business regardless of board composition. Schedule 1 separates the matters that are reasonable from those where the threshold is the negotiation and those worth resisting entirely. Thresholds should be set so that running the company normally requires no consent.</w:t>
      </w:r>
    </w:p>
    <w:p>
      <w:pPr>
        <w:keepNext/>
        <w:spacing w:after="40" w:before="140"/>
      </w:pPr>
      <w:r>
        <w:rPr>
          <w:rFonts w:ascii="Calibri" w:cs="Calibri" w:eastAsia="Calibri" w:hAnsi="Calibri"/>
          <w:b/>
          <w:bCs/>
          <w:color w:val="14161B"/>
          <w:sz w:val="20"/>
          <w:szCs w:val="20"/>
        </w:rPr>
        <w:t xml:space="preserve">Read the drag-along carefully</w:t>
      </w:r>
    </w:p>
    <w:p>
      <w:pPr>
        <w:spacing w:after="60" w:line="264"/>
        <w:jc w:val="both"/>
      </w:pPr>
      <w:r>
        <w:rPr>
          <w:rFonts w:ascii="Calibri" w:cs="Calibri" w:eastAsia="Calibri" w:hAnsi="Calibri"/>
          <w:sz w:val="19"/>
          <w:szCs w:val="19"/>
        </w:rPr>
        <w:t xml:space="preserve">Drag-along lets a defined majority force everyone to sell. Where the trigger allows the investor plus a small group to compel a sale, founders can be dragged into an exit at a price and time they would not choose. Check the threshold, and consider a minimum price condition.</w:t>
      </w:r>
    </w:p>
    <w:p>
      <w:pPr>
        <w:keepNext/>
        <w:spacing w:after="40" w:before="140"/>
      </w:pPr>
      <w:r>
        <w:rPr>
          <w:rFonts w:ascii="Calibri" w:cs="Calibri" w:eastAsia="Calibri" w:hAnsi="Calibri"/>
          <w:b/>
          <w:bCs/>
          <w:color w:val="14161B"/>
          <w:sz w:val="20"/>
          <w:szCs w:val="20"/>
        </w:rPr>
        <w:t xml:space="preserve">Ask for credit on founder vesting</w:t>
      </w:r>
    </w:p>
    <w:p>
      <w:pPr>
        <w:spacing w:after="60" w:line="264"/>
        <w:jc w:val="both"/>
      </w:pPr>
      <w:r>
        <w:rPr>
          <w:rFonts w:ascii="Calibri" w:cs="Calibri" w:eastAsia="Calibri" w:hAnsi="Calibri"/>
          <w:sz w:val="19"/>
          <w:szCs w:val="19"/>
        </w:rPr>
        <w:t xml:space="preserve">Investors will require founder vesting, and that is reasonable. Founders who have already worked for a year or two unpaid should ask for that period to be credited rather than restarting the clock. It is routinely granted when asked for and rarely offered.</w:t>
      </w:r>
    </w:p>
    <w:p>
      <w:pPr>
        <w:keepNext/>
        <w:spacing w:after="40" w:before="140"/>
      </w:pPr>
      <w:r>
        <w:rPr>
          <w:rFonts w:ascii="Calibri" w:cs="Calibri" w:eastAsia="Calibri" w:hAnsi="Calibri"/>
          <w:b/>
          <w:bCs/>
          <w:color w:val="14161B"/>
          <w:sz w:val="20"/>
          <w:szCs w:val="20"/>
        </w:rPr>
        <w:t xml:space="preserve">Define bad leaver narrowly</w:t>
      </w:r>
    </w:p>
    <w:p>
      <w:pPr>
        <w:spacing w:after="60" w:line="264"/>
        <w:jc w:val="both"/>
      </w:pPr>
      <w:r>
        <w:rPr>
          <w:rFonts w:ascii="Calibri" w:cs="Calibri" w:eastAsia="Calibri" w:hAnsi="Calibri"/>
          <w:sz w:val="19"/>
          <w:szCs w:val="19"/>
        </w:rPr>
        <w:t xml:space="preserve">A bad leaver definition extending to conduct the board considers detrimental hands the board a discretion to strip vested shares. Confine it to dismissal for cause, fraud and material breach. This is one of the most contested provisions in founder documents and one of the most important.</w:t>
      </w:r>
    </w:p>
    <w:p>
      <w:pPr>
        <w:keepNext/>
        <w:spacing w:after="40" w:before="140"/>
      </w:pPr>
      <w:r>
        <w:rPr>
          <w:rFonts w:ascii="Calibri" w:cs="Calibri" w:eastAsia="Calibri" w:hAnsi="Calibri"/>
          <w:b/>
          <w:bCs/>
          <w:color w:val="14161B"/>
          <w:sz w:val="20"/>
          <w:szCs w:val="20"/>
        </w:rPr>
        <w:t xml:space="preserve">Exclusivity has a real cost</w:t>
      </w:r>
    </w:p>
    <w:p>
      <w:pPr>
        <w:spacing w:after="60" w:line="264"/>
        <w:jc w:val="both"/>
      </w:pPr>
      <w:r>
        <w:rPr>
          <w:rFonts w:ascii="Calibri" w:cs="Calibri" w:eastAsia="Calibri" w:hAnsi="Calibri"/>
          <w:sz w:val="19"/>
          <w:szCs w:val="19"/>
        </w:rPr>
        <w:t xml:space="preserve">A 45-day exclusivity period during which the company cannot talk to other investors is a genuine concession, and it is binding. Keep it as short as the diligence realistically requires, and make sure it ends automatically if the investor withdraws or materially changes terms.</w:t>
      </w:r>
    </w:p>
    <w:p>
      <w:pPr>
        <w:keepNext/>
        <w:spacing w:after="40" w:before="140"/>
      </w:pPr>
      <w:r>
        <w:rPr>
          <w:rFonts w:ascii="Calibri" w:cs="Calibri" w:eastAsia="Calibri" w:hAnsi="Calibri"/>
          <w:b/>
          <w:bCs/>
          <w:color w:val="14161B"/>
          <w:sz w:val="20"/>
          <w:szCs w:val="20"/>
        </w:rPr>
        <w:t xml:space="preserve">Watch the cost undertaking</w:t>
      </w:r>
    </w:p>
    <w:p>
      <w:pPr>
        <w:spacing w:after="60" w:line="264"/>
        <w:jc w:val="both"/>
      </w:pPr>
      <w:r>
        <w:rPr>
          <w:rFonts w:ascii="Calibri" w:cs="Calibri" w:eastAsia="Calibri" w:hAnsi="Calibri"/>
          <w:sz w:val="19"/>
          <w:szCs w:val="19"/>
        </w:rPr>
        <w:t xml:space="preserve">Agreeing to pay the investor’s legal costs is normal, but it should be capped and payable only on completion. An uncapped undertaking payable regardless of outcome means a failed round still costs the company real money.</w:t>
      </w:r>
    </w:p>
    <w:p>
      <w:pPr>
        <w:keepNext/>
        <w:spacing w:after="40" w:before="140"/>
      </w:pPr>
      <w:r>
        <w:rPr>
          <w:rFonts w:ascii="Calibri" w:cs="Calibri" w:eastAsia="Calibri" w:hAnsi="Calibri"/>
          <w:b/>
          <w:bCs/>
          <w:color w:val="14161B"/>
          <w:sz w:val="20"/>
          <w:szCs w:val="20"/>
        </w:rPr>
        <w:t xml:space="preserve">No exchange control here</w:t>
      </w:r>
    </w:p>
    <w:p>
      <w:pPr>
        <w:spacing w:after="60" w:line="264"/>
        <w:jc w:val="both"/>
      </w:pPr>
      <w:r>
        <w:rPr>
          <w:rFonts w:ascii="Calibri" w:cs="Calibri" w:eastAsia="Calibri" w:hAnsi="Calibri"/>
          <w:sz w:val="19"/>
          <w:szCs w:val="19"/>
        </w:rPr>
        <w:t xml:space="preserve">Singapore has no exchange control regime — no pricing guidelines, no filings on foreign investment, no restrictions on returns to non-residents. Founders and investors coming from jurisdictions with such regimes should not import that machinery into the documents. What does apply is stamp duty on share transfers.</w:t>
      </w:r>
    </w:p>
    <w:p>
      <w:pPr>
        <w:keepNext/>
        <w:spacing w:after="40" w:before="140"/>
      </w:pPr>
      <w:r>
        <w:rPr>
          <w:rFonts w:ascii="Calibri" w:cs="Calibri" w:eastAsia="Calibri" w:hAnsi="Calibri"/>
          <w:b/>
          <w:bCs/>
          <w:color w:val="14161B"/>
          <w:sz w:val="20"/>
          <w:szCs w:val="20"/>
        </w:rPr>
        <w:t xml:space="preserve">The constitution must match the term sheet</w:t>
      </w:r>
    </w:p>
    <w:p>
      <w:pPr>
        <w:spacing w:after="60" w:line="264"/>
        <w:jc w:val="both"/>
      </w:pPr>
      <w:r>
        <w:rPr>
          <w:rFonts w:ascii="Calibri" w:cs="Calibri" w:eastAsia="Calibri" w:hAnsi="Calibri"/>
          <w:sz w:val="19"/>
          <w:szCs w:val="19"/>
        </w:rPr>
        <w:t xml:space="preserve">Preference rights agreed here must be reflected in an amended constitution before the shares are issued. Issuing preference shares where the constitution recognises only ordinary shares is a defect that surfaces at the next round and is awkward to fix.</w:t>
      </w:r>
    </w:p>
    <w:p>
      <w:pPr>
        <w:keepNext/>
        <w:spacing w:after="40" w:before="140"/>
      </w:pPr>
      <w:r>
        <w:rPr>
          <w:rFonts w:ascii="Calibri" w:cs="Calibri" w:eastAsia="Calibri" w:hAnsi="Calibri"/>
          <w:b/>
          <w:bCs/>
          <w:color w:val="14161B"/>
          <w:sz w:val="20"/>
          <w:szCs w:val="20"/>
        </w:rPr>
        <w:t xml:space="preserve">Tranching needs objective milestones</w:t>
      </w:r>
    </w:p>
    <w:p>
      <w:pPr>
        <w:spacing w:after="60" w:line="264"/>
        <w:jc w:val="both"/>
      </w:pPr>
      <w:r>
        <w:rPr>
          <w:rFonts w:ascii="Calibri" w:cs="Calibri" w:eastAsia="Calibri" w:hAnsi="Calibri"/>
          <w:sz w:val="19"/>
          <w:szCs w:val="19"/>
        </w:rPr>
        <w:t xml:space="preserve">Where the investment is split into tranches, the conditions for the second tranche must be objectively measurable. Milestones expressed as satisfaction of the investor give the investor an option rather than a commitment, and the company cannot plan around it.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Market terms move, VIMA is periodically updated, and requirements under the Companies Act 1967 including share allotment filings and stamp duty change — take legal advice before signing a term sheet, and model the waterfall before agreeing the preference.</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2026-08-22T06:55:31.420Z</dcterms:created>
  <dcterms:modified xsi:type="dcterms:W3CDTF">2026-08-22T06:55:31.420Z</dcterms:modified>
</cp:coreProperties>
</file>

<file path=docProps/custom.xml><?xml version="1.0" encoding="utf-8"?>
<Properties xmlns="http://schemas.openxmlformats.org/officeDocument/2006/custom-properties" xmlns:vt="http://schemas.openxmlformats.org/officeDocument/2006/docPropsVTypes"/>
</file>