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RESTRICTIVE COVENANT AGREEMENT</w:t>
      </w:r>
    </w:p>
    <w:p>
      <w:pPr>
        <w:spacing w:after="260"/>
        <w:jc w:val="center"/>
      </w:pPr>
      <w:r>
        <w:rPr>
          <w:rFonts w:ascii="Calibri" w:cs="Calibri" w:eastAsia="Calibri" w:hAnsi="Calibri"/>
          <w:i/>
          <w:iCs/>
          <w:color w:val="6E7480"/>
          <w:sz w:val="19"/>
          <w:szCs w:val="19"/>
        </w:rPr>
        <w:t xml:space="preserve">Post-employment restrictions —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and </w:t>
      </w:r>
      <w:r>
        <w:rPr>
          <w:rFonts w:ascii="Calibri" w:cs="Calibri" w:eastAsia="Calibri" w:hAnsi="Calibri"/>
          <w:b/>
          <w:bCs/>
          <w:i/>
          <w:iCs/>
          <w:color w:val="6E7480"/>
          <w:sz w:val="19"/>
          <w:szCs w:val="19"/>
        </w:rPr>
        <w:t xml:space="preserve">[EMPLOYEE NAME]</w:t>
      </w:r>
    </w:p>
    <w:p>
      <w:pPr>
        <w:spacing w:after="180" w:before="0" w:line="276"/>
        <w:jc w:val="both"/>
      </w:pPr>
      <w:r>
        <w:rPr>
          <w:rFonts w:ascii="Calibri" w:cs="Calibri" w:eastAsia="Calibri" w:hAnsi="Calibri"/>
          <w:i/>
          <w:iCs/>
          <w:color w:val="6E7480"/>
          <w:sz w:val="21"/>
          <w:szCs w:val="21"/>
        </w:rPr>
        <w:t xml:space="preserve">Restrictive covenants are enforceable in Singapore, but only so far as they are reasonable. A covenant that goes further than the interest it protects fails entirely — the court will not rewrite it into something acceptable. The commercial instinct to draft widely and hope is precisely wrong here: breadth is what destroys enforceability.</w:t>
      </w:r>
    </w:p>
    <w:p>
      <w:pPr>
        <w:spacing w:after="140" w:before="0" w:line="276"/>
        <w:jc w:val="both"/>
      </w:pPr>
      <w:r>
        <w:rPr>
          <w:rFonts w:ascii="Calibri" w:cs="Calibri" w:eastAsia="Calibri" w:hAnsi="Calibri"/>
          <w:b/>
          <w:bCs/>
          <w:sz w:val="21"/>
          <w:szCs w:val="21"/>
        </w:rPr>
        <w:t xml:space="preserve">THIS AGREEMENT</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in Singapore with UEN </w:t>
      </w:r>
      <w:r>
        <w:rPr>
          <w:rFonts w:ascii="Calibri" w:cs="Calibri" w:eastAsia="Calibri" w:hAnsi="Calibri"/>
          <w:b/>
          <w:bCs/>
          <w:sz w:val="21"/>
          <w:szCs w:val="21"/>
        </w:rPr>
        <w:t xml:space="preserve">[UEN]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[EMPLOYEE NAME]</w:t>
      </w:r>
      <w:r>
        <w:rPr>
          <w:rFonts w:ascii="Calibri" w:cs="Calibri" w:eastAsia="Calibri" w:hAnsi="Calibri"/>
          <w:sz w:val="21"/>
          <w:szCs w:val="21"/>
        </w:rPr>
        <w:t xml:space="preserve">, holding </w:t>
      </w:r>
      <w:r>
        <w:rPr>
          <w:rFonts w:ascii="Calibri" w:cs="Calibri" w:eastAsia="Calibri" w:hAnsi="Calibri"/>
          <w:b/>
          <w:bCs/>
          <w:sz w:val="21"/>
          <w:szCs w:val="21"/>
        </w:rPr>
        <w:t xml:space="preserve">[NRIC / FIN]</w:t>
      </w:r>
      <w:r>
        <w:rPr>
          <w:rFonts w:ascii="Calibri" w:cs="Calibri" w:eastAsia="Calibri" w:hAnsi="Calibri"/>
          <w:sz w:val="21"/>
          <w:szCs w:val="21"/>
        </w:rPr>
        <w:t xml:space="preserve"> number </w:t>
      </w:r>
      <w:r>
        <w:rPr>
          <w:rFonts w:ascii="Calibri" w:cs="Calibri" w:eastAsia="Calibri" w:hAnsi="Calibri"/>
          <w:b/>
          <w:bCs/>
          <w:sz w:val="21"/>
          <w:szCs w:val="21"/>
        </w:rPr>
        <w:t xml:space="preserve">[NUMBER]</w:t>
      </w:r>
      <w:r>
        <w:rPr>
          <w:rFonts w:ascii="Calibri" w:cs="Calibri" w:eastAsia="Calibri" w:hAnsi="Calibri"/>
          <w:sz w:val="21"/>
          <w:szCs w:val="21"/>
        </w:rPr>
        <w:t xml:space="preserve"> (the "</w:t>
      </w:r>
      <w:r>
        <w:rPr>
          <w:rFonts w:ascii="Calibri" w:cs="Calibri" w:eastAsia="Calibri" w:hAnsi="Calibri"/>
          <w:b/>
          <w:bCs/>
          <w:sz w:val="21"/>
          <w:szCs w:val="21"/>
        </w:rPr>
        <w:t xml:space="preserve">Employee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Employee is employed by the Company as </w:t>
      </w:r>
      <w:r>
        <w:rPr>
          <w:rFonts w:ascii="Calibri" w:cs="Calibri" w:eastAsia="Calibri" w:hAnsi="Calibri"/>
          <w:b/>
          <w:bCs/>
          <w:sz w:val="21"/>
          <w:szCs w:val="21"/>
        </w:rPr>
        <w:t xml:space="preserve">[JOB TITLE]</w:t>
      </w:r>
      <w:r>
        <w:rPr>
          <w:rFonts w:ascii="Calibri" w:cs="Calibri" w:eastAsia="Calibri" w:hAnsi="Calibri"/>
          <w:sz w:val="21"/>
          <w:szCs w:val="21"/>
        </w:rPr>
        <w:t xml:space="preserve"> under a contract of employment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 that role the Employee has or will have access to the confidential information, customer connections and workforce described in Schedule 1, which the Company regards as legitimate proprietary interests requiring protection.</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parties have agreed the restrictions in this Agreement, having regard to the seniority of the role, the nature of the interests to be protected, and the period reasonably required to protect them.</w:t>
      </w:r>
    </w:p>
    <w:p>
      <w:pPr>
        <w:spacing w:after="140" w:before="120" w:line="276"/>
        <w:jc w:val="both"/>
      </w:pPr>
      <w:r>
        <w:rPr>
          <w:rFonts w:ascii="Calibri" w:cs="Calibri" w:eastAsia="Calibri" w:hAnsi="Calibri"/>
          <w:b/>
          <w:bCs/>
          <w:sz w:val="21"/>
          <w:szCs w:val="21"/>
        </w:rPr>
        <w:t xml:space="preserve">IT IS AGREED</w:t>
      </w:r>
      <w:r>
        <w:rPr>
          <w:rFonts w:ascii="Calibri" w:cs="Calibri" w:eastAsia="Calibri" w:hAnsi="Calibri"/>
          <w:sz w:val="21"/>
          <w:szCs w:val="21"/>
        </w:rPr>
        <w:t xml:space="preserv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this Agreement: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Restricted Period</w:t>
      </w:r>
      <w:r>
        <w:rPr>
          <w:rFonts w:ascii="Calibri" w:cs="Calibri" w:eastAsia="Calibri" w:hAnsi="Calibri"/>
          <w:sz w:val="21"/>
          <w:szCs w:val="21"/>
        </w:rPr>
        <w:t xml:space="preserve">" means the period of </w:t>
      </w:r>
      <w:r>
        <w:rPr>
          <w:rFonts w:ascii="Calibri" w:cs="Calibri" w:eastAsia="Calibri" w:hAnsi="Calibri"/>
          <w:b/>
          <w:bCs/>
          <w:sz w:val="21"/>
          <w:szCs w:val="21"/>
        </w:rPr>
        <w:t xml:space="preserve">[NUMBER]</w:t>
      </w:r>
      <w:r>
        <w:rPr>
          <w:rFonts w:ascii="Calibri" w:cs="Calibri" w:eastAsia="Calibri" w:hAnsi="Calibri"/>
          <w:sz w:val="21"/>
          <w:szCs w:val="21"/>
        </w:rPr>
        <w:t xml:space="preserve"> months beginning on the Termination Date, </w:t>
      </w:r>
      <w:r>
        <w:rPr>
          <w:rFonts w:ascii="Calibri" w:cs="Calibri" w:eastAsia="Calibri" w:hAnsi="Calibri"/>
          <w:b/>
          <w:bCs/>
          <w:sz w:val="21"/>
          <w:szCs w:val="21"/>
        </w:rPr>
        <w:t xml:space="preserve">reduced by any period of garden leave</w:t>
      </w:r>
      <w:r>
        <w:rPr>
          <w:rFonts w:ascii="Calibri" w:cs="Calibri" w:eastAsia="Calibri" w:hAnsi="Calibri"/>
          <w:sz w:val="21"/>
          <w:szCs w:val="21"/>
        </w:rPr>
        <w:t xml:space="preserve"> served by the Employee immediately before the Termination Date.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Restricted Business</w:t>
      </w:r>
      <w:r>
        <w:rPr>
          <w:rFonts w:ascii="Calibri" w:cs="Calibri" w:eastAsia="Calibri" w:hAnsi="Calibri"/>
          <w:sz w:val="21"/>
          <w:szCs w:val="21"/>
        </w:rPr>
        <w:t xml:space="preserve">" means </w:t>
      </w:r>
      <w:r>
        <w:rPr>
          <w:rFonts w:ascii="Calibri" w:cs="Calibri" w:eastAsia="Calibri" w:hAnsi="Calibri"/>
          <w:b/>
          <w:bCs/>
          <w:sz w:val="21"/>
          <w:szCs w:val="21"/>
        </w:rPr>
        <w:t xml:space="preserve">[DESCRIBE THE SPECIFIC BUSINESS ACTIVITY IN WHICH THE EMPLOYEE WAS ENGAGED — not the whole industry, and not the whole of the Company’s business]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Restricted Area</w:t>
      </w:r>
      <w:r>
        <w:rPr>
          <w:rFonts w:ascii="Calibri" w:cs="Calibri" w:eastAsia="Calibri" w:hAnsi="Calibri"/>
          <w:sz w:val="21"/>
          <w:szCs w:val="21"/>
        </w:rPr>
        <w:t xml:space="preserve">" means </w:t>
      </w:r>
      <w:r>
        <w:rPr>
          <w:rFonts w:ascii="Calibri" w:cs="Calibri" w:eastAsia="Calibri" w:hAnsi="Calibri"/>
          <w:b/>
          <w:bCs/>
          <w:sz w:val="21"/>
          <w:szCs w:val="21"/>
        </w:rPr>
        <w:t xml:space="preserve">[DEFINE PRECISELY — e.g. Singapore; or Singapore and Malaysia; matching where the Company actually trades and where the Employee actually operated]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Restricted Customer</w:t>
      </w:r>
      <w:r>
        <w:rPr>
          <w:rFonts w:ascii="Calibri" w:cs="Calibri" w:eastAsia="Calibri" w:hAnsi="Calibri"/>
          <w:sz w:val="21"/>
          <w:szCs w:val="21"/>
        </w:rPr>
        <w:t xml:space="preserve">" means any person who was a customer or client of the Company, or in active negotiation to become one, and </w:t>
      </w:r>
      <w:r>
        <w:rPr>
          <w:rFonts w:ascii="Calibri" w:cs="Calibri" w:eastAsia="Calibri" w:hAnsi="Calibri"/>
          <w:b/>
          <w:bCs/>
          <w:sz w:val="21"/>
          <w:szCs w:val="21"/>
        </w:rPr>
        <w:t xml:space="preserve">with whom the Employee had material dealings</w:t>
      </w:r>
      <w:r>
        <w:rPr>
          <w:rFonts w:ascii="Calibri" w:cs="Calibri" w:eastAsia="Calibri" w:hAnsi="Calibri"/>
          <w:sz w:val="21"/>
          <w:szCs w:val="21"/>
        </w:rPr>
        <w:t xml:space="preserve">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Termination Date.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Restricted Employee</w:t>
      </w:r>
      <w:r>
        <w:rPr>
          <w:rFonts w:ascii="Calibri" w:cs="Calibri" w:eastAsia="Calibri" w:hAnsi="Calibri"/>
          <w:sz w:val="21"/>
          <w:szCs w:val="21"/>
        </w:rPr>
        <w:t xml:space="preserve">" means any person who was employed or engaged by the Company in a </w:t>
      </w:r>
      <w:r>
        <w:rPr>
          <w:rFonts w:ascii="Calibri" w:cs="Calibri" w:eastAsia="Calibri" w:hAnsi="Calibri"/>
          <w:b/>
          <w:bCs/>
          <w:sz w:val="21"/>
          <w:szCs w:val="21"/>
        </w:rPr>
        <w:t xml:space="preserve">[senior, managerial, technical or sales]</w:t>
      </w:r>
      <w:r>
        <w:rPr>
          <w:rFonts w:ascii="Calibri" w:cs="Calibri" w:eastAsia="Calibri" w:hAnsi="Calibri"/>
          <w:sz w:val="21"/>
          <w:szCs w:val="21"/>
        </w:rPr>
        <w:t xml:space="preserve"> capacity, and </w:t>
      </w:r>
      <w:r>
        <w:rPr>
          <w:rFonts w:ascii="Calibri" w:cs="Calibri" w:eastAsia="Calibri" w:hAnsi="Calibri"/>
          <w:b/>
          <w:bCs/>
          <w:sz w:val="21"/>
          <w:szCs w:val="21"/>
        </w:rPr>
        <w:t xml:space="preserve">with whom the Employee worked</w:t>
      </w:r>
      <w:r>
        <w:rPr>
          <w:rFonts w:ascii="Calibri" w:cs="Calibri" w:eastAsia="Calibri" w:hAnsi="Calibri"/>
          <w:sz w:val="21"/>
          <w:szCs w:val="21"/>
        </w:rPr>
        <w:t xml:space="preserve">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Termination Date.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Termination Date</w:t>
      </w:r>
      <w:r>
        <w:rPr>
          <w:rFonts w:ascii="Calibri" w:cs="Calibri" w:eastAsia="Calibri" w:hAnsi="Calibri"/>
          <w:sz w:val="21"/>
          <w:szCs w:val="21"/>
        </w:rPr>
        <w:t xml:space="preserve">" means the date the Employee’s employment with the Company ends, however arising.</w:t>
      </w:r>
    </w:p>
    <w:p>
      <w:pPr>
        <w:keepNext/>
        <w:spacing w:after="120" w:before="280"/>
        <w:outlineLvl w:val="0"/>
      </w:pPr>
      <w:r>
        <w:rPr>
          <w:rFonts w:ascii="Calibri" w:cs="Calibri" w:eastAsia="Calibri" w:hAnsi="Calibri"/>
          <w:b/>
          <w:bCs/>
          <w:color w:val="14161B"/>
          <w:sz w:val="22"/>
          <w:szCs w:val="22"/>
        </w:rPr>
        <w:t xml:space="preserve">2. CONFIDENTIALITY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Employee shall not at any time use or disclose any confidential information of the Company or its related corporations, except as required for the Employee’s duties while employed or as required by law. This obligation has no time limit.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Employee shall on the Termination Date, or earlier on request, return all property, records, documents, devices and credentials of the Company, in any medium, and delete any copies held on personal devices, personal cloud storage or personal email, confirming in writing that this has been done.</w:t>
      </w:r>
    </w:p>
    <w:p>
      <w:pPr>
        <w:keepNext/>
        <w:spacing w:after="120" w:before="280"/>
        <w:outlineLvl w:val="0"/>
      </w:pPr>
      <w:r>
        <w:rPr>
          <w:rFonts w:ascii="Calibri" w:cs="Calibri" w:eastAsia="Calibri" w:hAnsi="Calibri"/>
          <w:b/>
          <w:bCs/>
          <w:color w:val="14161B"/>
          <w:sz w:val="22"/>
          <w:szCs w:val="22"/>
        </w:rPr>
        <w:t xml:space="preserve">3. NON-SOLICITATION OF CUSTOMERS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During the Restricted Period the Employee shall not, directly or indirectly, solicit or seek to entice away from the Company any Restricted Customer, for the purpose of providing goods or services competing with the Restricted Business.</w:t>
      </w:r>
    </w:p>
    <w:p>
      <w:pPr>
        <w:keepNext/>
        <w:spacing w:after="120" w:before="280"/>
        <w:outlineLvl w:val="0"/>
      </w:pPr>
      <w:r>
        <w:rPr>
          <w:rFonts w:ascii="Calibri" w:cs="Calibri" w:eastAsia="Calibri" w:hAnsi="Calibri"/>
          <w:b/>
          <w:bCs/>
          <w:color w:val="14161B"/>
          <w:sz w:val="22"/>
          <w:szCs w:val="22"/>
        </w:rPr>
        <w:t xml:space="preserve">4. NON-DEALING WITH CUSTOMERS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During the Restricted Period the Employee shall not, directly or indirectly, deal with, supply or provide services to any Restricted Customer in connection with the Restricted Business, whether or not the Employee solicited that customer.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i/>
          <w:iCs/>
          <w:sz w:val="21"/>
          <w:szCs w:val="21"/>
        </w:rPr>
        <w:t xml:space="preserve">A non-dealing covenant is included because a non-solicitation covenant alone is often unenforceable in practice — proving who approached whom is difficult. Where the role is not customer-facing, delete Clauses 3 and 4.</w:t>
      </w:r>
    </w:p>
    <w:p>
      <w:pPr>
        <w:keepNext/>
        <w:spacing w:after="120" w:before="280"/>
        <w:outlineLvl w:val="0"/>
      </w:pPr>
      <w:r>
        <w:rPr>
          <w:rFonts w:ascii="Calibri" w:cs="Calibri" w:eastAsia="Calibri" w:hAnsi="Calibri"/>
          <w:b/>
          <w:bCs/>
          <w:color w:val="14161B"/>
          <w:sz w:val="22"/>
          <w:szCs w:val="22"/>
        </w:rPr>
        <w:t xml:space="preserve">5. NON-SOLICITATION OF EMPLOYEES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During the Restricted Period the Employee shall not, directly or indirectly, solicit or seek to entice away from the Company any Restricted Employee, or employ or engage any Restricted Employee in the Restricted Business.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Nothing in this Clause prevents the Employee from employing a person who responds to a public advertisement not directed at employees of the Company.</w:t>
      </w:r>
    </w:p>
    <w:p>
      <w:pPr>
        <w:keepNext/>
        <w:spacing w:after="120" w:before="280"/>
        <w:outlineLvl w:val="0"/>
      </w:pPr>
      <w:r>
        <w:rPr>
          <w:rFonts w:ascii="Calibri" w:cs="Calibri" w:eastAsia="Calibri" w:hAnsi="Calibri"/>
          <w:b/>
          <w:bCs/>
          <w:color w:val="14161B"/>
          <w:sz w:val="22"/>
          <w:szCs w:val="22"/>
        </w:rPr>
        <w:t xml:space="preserve">6. NON-COMPETITION</w:t>
      </w:r>
    </w:p>
    <w:p>
      <w:pPr>
        <w:spacing w:after="120" w:before="0" w:line="276"/>
        <w:jc w:val="both"/>
      </w:pPr>
      <w:r>
        <w:rPr>
          <w:rFonts w:ascii="Calibri" w:cs="Calibri" w:eastAsia="Calibri" w:hAnsi="Calibri"/>
          <w:i/>
          <w:iCs/>
          <w:sz w:val="21"/>
          <w:szCs w:val="21"/>
        </w:rPr>
        <w:t xml:space="preserve">Include this Clause only where the role genuinely warrants it. For most roles, Clauses 2 to 5 are sufficient and considerably more likely to be enforced. Delete this Clause entirely for junior or non-customer-facing roles — see the notes.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During the Restricted Period the Employee shall not, within the Restricted Area, be engaged, concerned or interested in the Restricted Business in a capacity </w:t>
      </w:r>
      <w:r>
        <w:rPr>
          <w:rFonts w:ascii="Calibri" w:cs="Calibri" w:eastAsia="Calibri" w:hAnsi="Calibri"/>
          <w:b/>
          <w:bCs/>
          <w:sz w:val="21"/>
          <w:szCs w:val="21"/>
        </w:rPr>
        <w:t xml:space="preserve">the same as or materially similar to</w:t>
      </w:r>
      <w:r>
        <w:rPr>
          <w:rFonts w:ascii="Calibri" w:cs="Calibri" w:eastAsia="Calibri" w:hAnsi="Calibri"/>
          <w:sz w:val="21"/>
          <w:szCs w:val="21"/>
        </w:rPr>
        <w:t xml:space="preserve"> that in which the Employee was engaged by the Company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Termination Date.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This Clause does not prevent the Employee from:</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holding as a passive investment not more than </w:t>
      </w:r>
      <w:r>
        <w:rPr>
          <w:rFonts w:ascii="Calibri" w:cs="Calibri" w:eastAsia="Calibri" w:hAnsi="Calibri"/>
          <w:b/>
          <w:bCs/>
          <w:sz w:val="21"/>
          <w:szCs w:val="21"/>
        </w:rPr>
        <w:t xml:space="preserve">[5]</w:t>
      </w:r>
      <w:r>
        <w:rPr>
          <w:rFonts w:ascii="Calibri" w:cs="Calibri" w:eastAsia="Calibri" w:hAnsi="Calibri"/>
          <w:sz w:val="21"/>
          <w:szCs w:val="21"/>
        </w:rPr>
        <w:t xml:space="preserve"> per cent of the securities of any company;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being engaged in any part of a business that is not the Restricted Business;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being engaged in a role that does not involve the Employee in the Restricted Business, or in the Restricted Area.</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[Where compensation is offered for the restraint]</w:t>
      </w:r>
      <w:r>
        <w:rPr>
          <w:rFonts w:ascii="Calibri" w:cs="Calibri" w:eastAsia="Calibri" w:hAnsi="Calibri"/>
          <w:sz w:val="21"/>
          <w:szCs w:val="21"/>
        </w:rPr>
        <w:t xml:space="preserve"> The Company shall pay the Employee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month during the Restricted Period in consideration of this Clause, payable monthly in arrears, and this Clause shall cease to bind the Employee if the Company fails to pay within </w:t>
      </w:r>
      <w:r>
        <w:rPr>
          <w:rFonts w:ascii="Calibri" w:cs="Calibri" w:eastAsia="Calibri" w:hAnsi="Calibri"/>
          <w:b/>
          <w:bCs/>
          <w:sz w:val="21"/>
          <w:szCs w:val="21"/>
        </w:rPr>
        <w:t xml:space="preserve">[14]</w:t>
      </w:r>
      <w:r>
        <w:rPr>
          <w:rFonts w:ascii="Calibri" w:cs="Calibri" w:eastAsia="Calibri" w:hAnsi="Calibri"/>
          <w:sz w:val="21"/>
          <w:szCs w:val="21"/>
        </w:rPr>
        <w:t xml:space="preserve"> days of a payment falling due. </w:t>
      </w:r>
      <w:r>
        <w:rPr>
          <w:rFonts w:ascii="Calibri" w:cs="Calibri" w:eastAsia="Calibri" w:hAnsi="Calibri"/>
          <w:i/>
          <w:iCs/>
          <w:sz w:val="21"/>
          <w:szCs w:val="21"/>
        </w:rPr>
        <w:t xml:space="preserve">(Paying for a restraint is not required in Singapore, but it materially strengthens the reasonableness argument and is worth considering for senior roles — see the notes.)</w:t>
      </w:r>
    </w:p>
    <w:p>
      <w:pPr>
        <w:keepNext/>
        <w:spacing w:after="120" w:before="280"/>
        <w:outlineLvl w:val="0"/>
      </w:pPr>
      <w:r>
        <w:rPr>
          <w:rFonts w:ascii="Calibri" w:cs="Calibri" w:eastAsia="Calibri" w:hAnsi="Calibri"/>
          <w:b/>
          <w:bCs/>
          <w:color w:val="14161B"/>
          <w:sz w:val="22"/>
          <w:szCs w:val="22"/>
        </w:rPr>
        <w:t xml:space="preserve">7. SCOPE AND SEVERABILITY</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restriction in Clauses 2 to 6, and each element of each restriction as to activity, period, area and category of person, is a separate and independent restriction. If any is held to be unreasonable or unenforceable, the remainder shall continue to apply.</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Employee acknowledges that the restrictions are no wider than reasonably necessary to protect the legitimate proprietary interests described in Schedule 1, and that the Employee has had the opportunity to take independent legal advice on them.</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Company may release the Employee from any restriction, wholly or in part, by written notice, and shall consider any reasonable request from the Employee to do so where the proposed role does not threaten the interests protected.</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Nothing in this Agreement prevents the Employee from earning a living, from working in the Employee’s general profession or trade outside the Restricted Business, or from taking employment that does not engage any restriction in this Agreement.</w:t>
      </w:r>
    </w:p>
    <w:p>
      <w:pPr>
        <w:keepNext/>
        <w:spacing w:after="120" w:before="280"/>
        <w:outlineLvl w:val="0"/>
      </w:pPr>
      <w:r>
        <w:rPr>
          <w:rFonts w:ascii="Calibri" w:cs="Calibri" w:eastAsia="Calibri" w:hAnsi="Calibri"/>
          <w:b/>
          <w:bCs/>
          <w:color w:val="14161B"/>
          <w:sz w:val="22"/>
          <w:szCs w:val="22"/>
        </w:rPr>
        <w:t xml:space="preserve">8. REMEDIES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Employee acknowledges that damages may not be an adequate remedy for breach of this Agreement and that the Company may seek injunctive relief in addition to any other remedy.</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Employee shall, during the Restricted Period, give a copy of this Agreement to any prospective employer or business partner in the Restricted Business before accepting an engagement with them.</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Employee shall notify the Company in writing before accepting any engagement that may engage a restriction in this Agreement, stating the identity of the employer and the nature of the role, so that the Company may consider whether to grant a release. </w:t>
      </w:r>
      <w:r>
        <w:rPr>
          <w:rFonts w:ascii="Calibri" w:cs="Calibri" w:eastAsia="Calibri" w:hAnsi="Calibri"/>
          <w:i/>
          <w:iCs/>
          <w:sz w:val="21"/>
          <w:szCs w:val="21"/>
        </w:rPr>
        <w:t xml:space="preserve">This is a notification obligation, not a right of veto.</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This Agreement is in addition to, and does not replace, the Employee’s obligations under the contract of employment or at law.</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A related corporation of the Company may enforce this Agreement under the Contracts (Rights of Third Parties) Act 2001 in respect of its own confidential information, customers and employees.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This Agreement is governed by the laws of Singapore and the parties submit to the jurisdiction of the Singapore courts.</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NRIC / FIN: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The Legitimate Proprietary Interests Relied On</w:t>
      </w:r>
    </w:p>
    <w:p>
      <w:pPr>
        <w:spacing w:after="140" w:before="0" w:line="276"/>
        <w:jc w:val="both"/>
      </w:pPr>
      <w:r>
        <w:rPr>
          <w:rFonts w:ascii="Calibri" w:cs="Calibri" w:eastAsia="Calibri" w:hAnsi="Calibri"/>
          <w:i/>
          <w:iCs/>
          <w:sz w:val="21"/>
          <w:szCs w:val="21"/>
        </w:rPr>
        <w:t xml:space="preserve">Complete this honestly and specifically. It is the evidential foundation for the whole agreement. A schedule that says "the Company’s business interests" protects nothing.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698"/>
        <w:gridCol w:w="2409"/>
        <w:gridCol w:w="2411"/>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Interest</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specifically</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Employee’s access to it</w:t>
            </w:r>
          </w:p>
        </w:tc>
        <w:tc>
          <w:tcPr>
            <w:tcW w:type="dxa" w:w="24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 the stated period is needed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Confidential information and trade secrets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[IDENTIFY — pricing models, source code, formulations, margin data, strategic plans]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the Employee’s actual access]</w:t>
            </w:r>
          </w:p>
        </w:tc>
        <w:tc>
          <w:tcPr>
            <w:tcW w:type="dxa" w:w="24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long before the information ceases to be commercially useful]</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connection with customers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[WHICH customers or segments; the nature of the relationship]</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 and depth of the Employee’s dealings]</w:t>
            </w:r>
          </w:p>
        </w:tc>
        <w:tc>
          <w:tcPr>
            <w:tcW w:type="dxa" w:w="24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long a successor needs to establish the relationship]</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Stable and trained workforce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[WHICH roles; the investment in training]</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Employee’s influence over colleagues]</w:t>
            </w:r>
          </w:p>
        </w:tc>
        <w:tc>
          <w:tcPr>
            <w:tcW w:type="dxa" w:w="24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[Replacement and training lead time]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[Supplier connection, where relevant]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4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Reasonableness Self-Assessment</w:t>
      </w:r>
    </w:p>
    <w:p>
      <w:pPr>
        <w:spacing w:after="140" w:before="0" w:line="276"/>
        <w:jc w:val="both"/>
      </w:pPr>
      <w:r>
        <w:rPr>
          <w:rFonts w:ascii="Calibri" w:cs="Calibri" w:eastAsia="Calibri" w:hAnsi="Calibri"/>
          <w:i/>
          <w:iCs/>
          <w:sz w:val="21"/>
          <w:szCs w:val="21"/>
        </w:rPr>
        <w:t xml:space="preserve">Work through this before issuing. If several answers are uncomfortable, narrow the covenant rather than hoping it survives.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662"/>
        <w:gridCol w:w="1445"/>
        <w:gridCol w:w="405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c>
          <w:tcPr>
            <w:tcW w:type="dxa" w:w="405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Comment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specific legitimate proprietary interest is being protected?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"competition" — competition itself is not a protectable interest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this employee actually have access to it?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not, the covenant is a bare restraint and will fail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senior is the employee?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Junior roles are much harder to justify restraining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restricted activity limited to what the employee actually did?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industry-wide restraint is likely to fail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area limited to where the Company actually trades?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global or unspecified area is a common cause of failure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period the shortest that protects the interest?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Longer periods need stronger justification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look-back period for customers and employees limited?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Restricting customers the employee never met is unreasonable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Would a non-solicitation or non-dealing covenant alone suffice?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yes, delete the non-competition clause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garden leave being served, and is it deducted from the period?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Cumulative time out of the market is assessed together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same covenant applied across the whole workforce?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Uniform covenants are the pattern most often struck down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any compensation offered for the restraint?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required, but strengthens the position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Was the employee given the terms before accepting the role?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Disclosure at offer stage assists on fairness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Has the covenant been reviewed since the employee was promoted?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covenant drafted for a junior role may be inadequate later, and one drafted for a senior role may be unreasonable if the employee moves down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Would the Company actually litigate this?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405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unenforced covenant still deters; an unenforceable one deters honest people only</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doctrine, in short</w:t>
      </w:r>
    </w:p>
    <w:p>
      <w:pPr>
        <w:spacing w:after="60" w:line="264"/>
        <w:jc w:val="both"/>
      </w:pPr>
      <w:r>
        <w:rPr>
          <w:rFonts w:ascii="Calibri" w:cs="Calibri" w:eastAsia="Calibri" w:hAnsi="Calibri"/>
          <w:sz w:val="19"/>
          <w:szCs w:val="19"/>
        </w:rPr>
        <w:t xml:space="preserve">A post-employment restraint is prima facie void as a restraint of trade. It becomes enforceable only if the employer shows that it protects a legitimate proprietary interest, and that it is reasonable both between the parties and in the public interest. The burden of proof is on the employer throughout. Competition as such is not a protectable interest — the interest must be confidential information, trade connection, or maintaining a stable and trained workforce.</w:t>
      </w:r>
    </w:p>
    <w:p>
      <w:pPr>
        <w:keepNext/>
        <w:spacing w:after="40" w:before="140"/>
      </w:pPr>
      <w:r>
        <w:rPr>
          <w:rFonts w:ascii="Calibri" w:cs="Calibri" w:eastAsia="Calibri" w:hAnsi="Calibri"/>
          <w:b/>
          <w:bCs/>
          <w:color w:val="14161B"/>
          <w:sz w:val="20"/>
          <w:szCs w:val="20"/>
        </w:rPr>
        <w:t xml:space="preserve">An unreasonable covenant fails completely</w:t>
      </w:r>
    </w:p>
    <w:p>
      <w:pPr>
        <w:spacing w:after="60" w:line="264"/>
        <w:jc w:val="both"/>
      </w:pPr>
      <w:r>
        <w:rPr>
          <w:rFonts w:ascii="Calibri" w:cs="Calibri" w:eastAsia="Calibri" w:hAnsi="Calibri"/>
          <w:sz w:val="19"/>
          <w:szCs w:val="19"/>
        </w:rPr>
        <w:t xml:space="preserve">Singapore courts do not rewrite restraints to make them work, and will generally not enforce a narrower version than the one drafted where the employer is effectively asking the court to choose among the countries or activities it covers. Drafting widely in the hope that a court will read it down is the single most costly mistake in this area — the employer ends up with nothing rather than something.</w:t>
      </w:r>
    </w:p>
    <w:p>
      <w:pPr>
        <w:keepNext/>
        <w:spacing w:after="40" w:before="140"/>
      </w:pPr>
      <w:r>
        <w:rPr>
          <w:rFonts w:ascii="Calibri" w:cs="Calibri" w:eastAsia="Calibri" w:hAnsi="Calibri"/>
          <w:b/>
          <w:bCs/>
          <w:color w:val="14161B"/>
          <w:sz w:val="20"/>
          <w:szCs w:val="20"/>
        </w:rPr>
        <w:t xml:space="preserve">Do not apply one covenant to the whole workforce</w:t>
      </w:r>
    </w:p>
    <w:p>
      <w:pPr>
        <w:spacing w:after="60" w:line="264"/>
        <w:jc w:val="both"/>
      </w:pPr>
      <w:r>
        <w:rPr>
          <w:rFonts w:ascii="Calibri" w:cs="Calibri" w:eastAsia="Calibri" w:hAnsi="Calibri"/>
          <w:sz w:val="19"/>
          <w:szCs w:val="19"/>
        </w:rPr>
        <w:t xml:space="preserve">A covenant reasonable for a sales director is unreasonable for an administrator. Uniform covenants across a workforce are the pattern most often struck down, and they weaken the position for the senior roles where the restraint actually matters. Schedule 2 question 10 exists for this reason.</w:t>
      </w:r>
    </w:p>
    <w:p>
      <w:pPr>
        <w:keepNext/>
        <w:spacing w:after="40" w:before="140"/>
      </w:pPr>
      <w:r>
        <w:rPr>
          <w:rFonts w:ascii="Calibri" w:cs="Calibri" w:eastAsia="Calibri" w:hAnsi="Calibri"/>
          <w:b/>
          <w:bCs/>
          <w:color w:val="14161B"/>
          <w:sz w:val="20"/>
          <w:szCs w:val="20"/>
        </w:rPr>
        <w:t xml:space="preserve">Prefer non-solicitation and non-dealing to non-competition</w:t>
      </w:r>
    </w:p>
    <w:p>
      <w:pPr>
        <w:spacing w:after="60" w:line="264"/>
        <w:jc w:val="both"/>
      </w:pPr>
      <w:r>
        <w:rPr>
          <w:rFonts w:ascii="Calibri" w:cs="Calibri" w:eastAsia="Calibri" w:hAnsi="Calibri"/>
          <w:sz w:val="19"/>
          <w:szCs w:val="19"/>
        </w:rPr>
        <w:t xml:space="preserve">A non-dealing covenant protects the customer connection directly and is far more likely to survive than a blanket non-compete. Clause 4.2 explains why non-dealing is included alongside non-solicitation: proving who approached whom is difficult in practice, and a non-solicitation covenant alone is often unenforceable in substance even where valid in form. For most roles, Clauses 2 to 5 are the whole answer and Clause 6 should be deleted.</w:t>
      </w:r>
    </w:p>
    <w:p>
      <w:pPr>
        <w:keepNext/>
        <w:spacing w:after="40" w:before="140"/>
      </w:pPr>
      <w:r>
        <w:rPr>
          <w:rFonts w:ascii="Calibri" w:cs="Calibri" w:eastAsia="Calibri" w:hAnsi="Calibri"/>
          <w:b/>
          <w:bCs/>
          <w:color w:val="14161B"/>
          <w:sz w:val="20"/>
          <w:szCs w:val="20"/>
        </w:rPr>
        <w:t xml:space="preserve">Define the restricted business narrowly</w:t>
      </w:r>
    </w:p>
    <w:p>
      <w:pPr>
        <w:spacing w:after="60" w:line="264"/>
        <w:jc w:val="both"/>
      </w:pPr>
      <w:r>
        <w:rPr>
          <w:rFonts w:ascii="Calibri" w:cs="Calibri" w:eastAsia="Calibri" w:hAnsi="Calibri"/>
          <w:sz w:val="19"/>
          <w:szCs w:val="19"/>
        </w:rPr>
        <w:t xml:space="preserve">The most common drafting failure is defining the restricted business as everything the Company does, or as the industry. It should be the specific activity the employee was engaged in. An employee who sold one product line should not be restrained from the Company’s other lines, still less from the sector.</w:t>
      </w:r>
    </w:p>
    <w:p>
      <w:pPr>
        <w:keepNext/>
        <w:spacing w:after="40" w:before="140"/>
      </w:pPr>
      <w:r>
        <w:rPr>
          <w:rFonts w:ascii="Calibri" w:cs="Calibri" w:eastAsia="Calibri" w:hAnsi="Calibri"/>
          <w:b/>
          <w:bCs/>
          <w:color w:val="14161B"/>
          <w:sz w:val="20"/>
          <w:szCs w:val="20"/>
        </w:rPr>
        <w:t xml:space="preserve">Define the area by where you actually trade</w:t>
      </w:r>
    </w:p>
    <w:p>
      <w:pPr>
        <w:spacing w:after="60" w:line="264"/>
        <w:jc w:val="both"/>
      </w:pPr>
      <w:r>
        <w:rPr>
          <w:rFonts w:ascii="Calibri" w:cs="Calibri" w:eastAsia="Calibri" w:hAnsi="Calibri"/>
          <w:sz w:val="19"/>
          <w:szCs w:val="19"/>
        </w:rPr>
        <w:t xml:space="preserve">A global restraint on an employee who worked in one market is unreasonable. So is a restraint with no stated area. Match the area to the Company’s actual trading footprint and the employee’s actual operating territory.</w:t>
      </w:r>
    </w:p>
    <w:p>
      <w:pPr>
        <w:keepNext/>
        <w:spacing w:after="40" w:before="140"/>
      </w:pPr>
      <w:r>
        <w:rPr>
          <w:rFonts w:ascii="Calibri" w:cs="Calibri" w:eastAsia="Calibri" w:hAnsi="Calibri"/>
          <w:b/>
          <w:bCs/>
          <w:color w:val="14161B"/>
          <w:sz w:val="20"/>
          <w:szCs w:val="20"/>
        </w:rPr>
        <w:t xml:space="preserve">Limit the look-back for customers and employees</w:t>
      </w:r>
    </w:p>
    <w:p>
      <w:pPr>
        <w:spacing w:after="60" w:line="264"/>
        <w:jc w:val="both"/>
      </w:pPr>
      <w:r>
        <w:rPr>
          <w:rFonts w:ascii="Calibri" w:cs="Calibri" w:eastAsia="Calibri" w:hAnsi="Calibri"/>
          <w:sz w:val="19"/>
          <w:szCs w:val="19"/>
        </w:rPr>
        <w:t xml:space="preserve">Restricting the employee from dealing with customers they never met, or poaching colleagues they never worked with, is unreasonable and invites the whole clause to be struck down. The definitions of Restricted Customer and Restricted Employee both carry a material-dealings and a worked-with qualifier for that reason.</w:t>
      </w:r>
    </w:p>
    <w:p>
      <w:pPr>
        <w:keepNext/>
        <w:spacing w:after="40" w:before="140"/>
      </w:pPr>
      <w:r>
        <w:rPr>
          <w:rFonts w:ascii="Calibri" w:cs="Calibri" w:eastAsia="Calibri" w:hAnsi="Calibri"/>
          <w:b/>
          <w:bCs/>
          <w:color w:val="14161B"/>
          <w:sz w:val="20"/>
          <w:szCs w:val="20"/>
        </w:rPr>
        <w:t xml:space="preserve">Garden leave counts towards the period</w:t>
      </w:r>
    </w:p>
    <w:p>
      <w:pPr>
        <w:spacing w:after="60" w:line="264"/>
        <w:jc w:val="both"/>
      </w:pPr>
      <w:r>
        <w:rPr>
          <w:rFonts w:ascii="Calibri" w:cs="Calibri" w:eastAsia="Calibri" w:hAnsi="Calibri"/>
          <w:sz w:val="19"/>
          <w:szCs w:val="19"/>
        </w:rPr>
        <w:t xml:space="preserve">Where the employee has been kept out of the market on garden leave, a court assesses the cumulative period. Clause 1.1 deducts garden leave from the Restricted Period, which is both fairer and materially strengthens the reasonableness case. Employers who stack a long garden leave onto a long restraint frequently lose both.</w:t>
      </w:r>
    </w:p>
    <w:p>
      <w:pPr>
        <w:keepNext/>
        <w:spacing w:after="40" w:before="140"/>
      </w:pPr>
      <w:r>
        <w:rPr>
          <w:rFonts w:ascii="Calibri" w:cs="Calibri" w:eastAsia="Calibri" w:hAnsi="Calibri"/>
          <w:b/>
          <w:bCs/>
          <w:color w:val="14161B"/>
          <w:sz w:val="20"/>
          <w:szCs w:val="20"/>
        </w:rPr>
        <w:t xml:space="preserve">Paying for the restraint is optional but persuasive</w:t>
      </w:r>
    </w:p>
    <w:p>
      <w:pPr>
        <w:spacing w:after="60" w:line="264"/>
        <w:jc w:val="both"/>
      </w:pPr>
      <w:r>
        <w:rPr>
          <w:rFonts w:ascii="Calibri" w:cs="Calibri" w:eastAsia="Calibri" w:hAnsi="Calibri"/>
          <w:sz w:val="19"/>
          <w:szCs w:val="19"/>
        </w:rPr>
        <w:t xml:space="preserve">There is no requirement in Singapore to pay for a post-employment restraint, and most are unpaid. But a paid restraint is easier to defend as reasonable, gives the employer a clean lever to release the employee by ceasing payment, and reduces the hardship argument. Clause 6.3 is drafted so the restraint falls away if payment stops. Worth considering for genuinely senior roles.</w:t>
      </w:r>
    </w:p>
    <w:p>
      <w:pPr>
        <w:keepNext/>
        <w:spacing w:after="40" w:before="140"/>
      </w:pPr>
      <w:r>
        <w:rPr>
          <w:rFonts w:ascii="Calibri" w:cs="Calibri" w:eastAsia="Calibri" w:hAnsi="Calibri"/>
          <w:b/>
          <w:bCs/>
          <w:color w:val="14161B"/>
          <w:sz w:val="20"/>
          <w:szCs w:val="20"/>
        </w:rPr>
        <w:t xml:space="preserve">Disclose at offer stage</w:t>
      </w:r>
    </w:p>
    <w:p>
      <w:pPr>
        <w:spacing w:after="60" w:line="264"/>
        <w:jc w:val="both"/>
      </w:pPr>
      <w:r>
        <w:rPr>
          <w:rFonts w:ascii="Calibri" w:cs="Calibri" w:eastAsia="Calibri" w:hAnsi="Calibri"/>
          <w:sz w:val="19"/>
          <w:szCs w:val="19"/>
        </w:rPr>
        <w:t xml:space="preserve">A covenant first seen on day one, after the candidate has resigned elsewhere, is more vulnerable to argument about whether it was fairly agreed. Summarise the covenants in the offer letter and give the candidate the chance to take advice. This costs nothing and improves the position materially.</w:t>
      </w:r>
    </w:p>
    <w:p>
      <w:pPr>
        <w:keepNext/>
        <w:spacing w:after="40" w:before="140"/>
      </w:pPr>
      <w:r>
        <w:rPr>
          <w:rFonts w:ascii="Calibri" w:cs="Calibri" w:eastAsia="Calibri" w:hAnsi="Calibri"/>
          <w:b/>
          <w:bCs/>
          <w:color w:val="14161B"/>
          <w:sz w:val="20"/>
          <w:szCs w:val="20"/>
        </w:rPr>
        <w:t xml:space="preserve">Review on promotion</w:t>
      </w:r>
    </w:p>
    <w:p>
      <w:pPr>
        <w:spacing w:after="60" w:line="264"/>
        <w:jc w:val="both"/>
      </w:pPr>
      <w:r>
        <w:rPr>
          <w:rFonts w:ascii="Calibri" w:cs="Calibri" w:eastAsia="Calibri" w:hAnsi="Calibri"/>
          <w:sz w:val="19"/>
          <w:szCs w:val="19"/>
        </w:rPr>
        <w:t xml:space="preserve">A covenant signed when the employee was junior may not cover the interests they later access; one drafted for a senior role may be unreasonable if the employee moves to a narrower one. Refresh the covenant on material change of role, with fresh consideration, rather than relying on a document signed years earlier against a different job.</w:t>
      </w:r>
    </w:p>
    <w:p>
      <w:pPr>
        <w:keepNext/>
        <w:spacing w:after="40" w:before="140"/>
      </w:pPr>
      <w:r>
        <w:rPr>
          <w:rFonts w:ascii="Calibri" w:cs="Calibri" w:eastAsia="Calibri" w:hAnsi="Calibri"/>
          <w:b/>
          <w:bCs/>
          <w:color w:val="14161B"/>
          <w:sz w:val="20"/>
          <w:szCs w:val="20"/>
        </w:rPr>
        <w:t xml:space="preserve">Tripartite guidelines are pending</w:t>
      </w:r>
    </w:p>
    <w:p>
      <w:pPr>
        <w:spacing w:after="60" w:line="264"/>
        <w:jc w:val="both"/>
      </w:pPr>
      <w:r>
        <w:rPr>
          <w:rFonts w:ascii="Calibri" w:cs="Calibri" w:eastAsia="Calibri" w:hAnsi="Calibri"/>
          <w:sz w:val="19"/>
          <w:szCs w:val="19"/>
        </w:rPr>
        <w:t xml:space="preserve">The Ministry of Manpower has been developing tripartite guidelines on restrictive covenants since early 2024, with particular attention to lower-wage workers and restraints unconnected to a genuine business interest. As at the time of writing they have not been published. They will not be legally binding but are expected to be persuasive in court, and the Ministry may review the employment practices of employers who disregard them. Review covenants when they are issued.</w:t>
      </w:r>
    </w:p>
    <w:p>
      <w:pPr>
        <w:keepNext/>
        <w:spacing w:after="40" w:before="140"/>
      </w:pPr>
      <w:r>
        <w:rPr>
          <w:rFonts w:ascii="Calibri" w:cs="Calibri" w:eastAsia="Calibri" w:hAnsi="Calibri"/>
          <w:b/>
          <w:bCs/>
          <w:color w:val="14161B"/>
          <w:sz w:val="20"/>
          <w:szCs w:val="20"/>
        </w:rPr>
        <w:t xml:space="preserve">Hiring someone else’s restrained employee</w:t>
      </w:r>
    </w:p>
    <w:p>
      <w:pPr>
        <w:spacing w:after="60" w:line="264"/>
        <w:jc w:val="both"/>
      </w:pPr>
      <w:r>
        <w:rPr>
          <w:rFonts w:ascii="Calibri" w:cs="Calibri" w:eastAsia="Calibri" w:hAnsi="Calibri"/>
          <w:sz w:val="19"/>
          <w:szCs w:val="19"/>
        </w:rPr>
        <w:t xml:space="preserve">The reverse risk matters too. Where a candidate is subject to an enforceable covenant, an employer that hires knowing of it may face a claim for inducing breach of contract. Ask candidates in writing about existing restraints, and take the answer seriously rather than treating it as a formality.</w:t>
      </w:r>
    </w:p>
    <w:p>
      <w:pPr>
        <w:keepNext/>
        <w:spacing w:after="40" w:before="140"/>
      </w:pPr>
      <w:r>
        <w:rPr>
          <w:rFonts w:ascii="Calibri" w:cs="Calibri" w:eastAsia="Calibri" w:hAnsi="Calibri"/>
          <w:b/>
          <w:bCs/>
          <w:color w:val="14161B"/>
          <w:sz w:val="20"/>
          <w:szCs w:val="20"/>
        </w:rPr>
        <w:t xml:space="preserve">Consideration</w:t>
      </w:r>
    </w:p>
    <w:p>
      <w:pPr>
        <w:spacing w:after="60" w:line="264"/>
        <w:jc w:val="both"/>
      </w:pPr>
      <w:r>
        <w:rPr>
          <w:rFonts w:ascii="Calibri" w:cs="Calibri" w:eastAsia="Calibri" w:hAnsi="Calibri"/>
          <w:sz w:val="19"/>
          <w:szCs w:val="19"/>
        </w:rPr>
        <w:t xml:space="preserve">Where covenants are introduced during employment rather than at hire, there should be fresh consideration — a promotion, a salary increase, a bonus, or a payment referable to the covenant. A covenant imposed mid-employment for nothing is open to challenge on that ground alone, quite apart from reasonableness.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law here is judge-made and develops case by case, and tripartite guidelines are expected — have any covenant intended to be relied on reviewed by an employment lawyer, and take advice before enforcing one.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2026-08-22T06:55:28.427Z</dcterms:created>
  <dcterms:modified xsi:type="dcterms:W3CDTF">2026-08-22T06:55:28.427Z</dcterms:modified>
</cp:coreProperties>
</file>

<file path=docProps/custom.xml><?xml version="1.0" encoding="utf-8"?>
<Properties xmlns="http://schemas.openxmlformats.org/officeDocument/2006/custom-properties" xmlns:vt="http://schemas.openxmlformats.org/officeDocument/2006/docPropsVTypes"/>
</file>