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RAISING MONEY IN SINGAPORE</w:t>
      </w:r>
    </w:p>
    <w:p>
      <w:pPr>
        <w:spacing w:after="260"/>
        <w:jc w:val="center"/>
      </w:pPr>
      <w:r>
        <w:rPr>
          <w:rFonts w:ascii="Calibri" w:cs="Calibri" w:eastAsia="Calibri" w:hAnsi="Calibri"/>
          <w:i/>
          <w:iCs/>
          <w:color w:val="6E7480"/>
          <w:sz w:val="19"/>
          <w:szCs w:val="19"/>
        </w:rPr>
        <w:t xml:space="preserve">Which instrument, which documents, in what order</w:t>
      </w:r>
    </w:p>
    <w:p>
      <w:pPr>
        <w:spacing w:after="180" w:before="0" w:line="276"/>
        <w:jc w:val="both"/>
      </w:pPr>
      <w:r>
        <w:rPr>
          <w:rFonts w:ascii="Calibri" w:cs="Calibri" w:eastAsia="Calibri" w:hAnsi="Calibri"/>
          <w:i/>
          <w:iCs/>
          <w:color w:val="6E7480"/>
          <w:sz w:val="21"/>
          <w:szCs w:val="21"/>
        </w:rPr>
        <w:t xml:space="preserve">This is the map for the rest of the fundraising set. It answers three questions: which instrument suits your stage, which documents each one requires, and in what order they get signed. Where VIMA publishes a free Singapore-law model, this guide says so — there is rarely a reason to draft from scratch.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Stage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[Pre-seed / Seed / Series A / Later]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sought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Instrument chosen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[CARE / Convertible note / Priced round]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recorded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Lead investor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Not yet identified]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close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Adviser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[FIRM]</w:t>
            </w:r>
          </w:p>
        </w:tc>
      </w:tr>
    </w:tbl>
    <w:p>
      <w:pPr>
        <w:spacing w:after="180"/>
      </w:pPr>
    </w:p>
    <w:p>
      <w:pPr>
        <w:keepNext/>
        <w:spacing w:after="120" w:before="280"/>
        <w:outlineLvl w:val="0"/>
      </w:pPr>
      <w:r>
        <w:rPr>
          <w:rFonts w:ascii="Calibri" w:cs="Calibri" w:eastAsia="Calibri" w:hAnsi="Calibri"/>
          <w:b/>
          <w:bCs/>
          <w:color w:val="14161B"/>
          <w:sz w:val="22"/>
          <w:szCs w:val="22"/>
        </w:rPr>
        <w:t xml:space="preserve">1. START WITH VIMA</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w:t>
      </w:r>
      <w:r>
        <w:rPr>
          <w:rFonts w:ascii="Calibri" w:cs="Calibri" w:eastAsia="Calibri" w:hAnsi="Calibri"/>
          <w:b/>
          <w:bCs/>
          <w:sz w:val="21"/>
          <w:szCs w:val="21"/>
        </w:rPr>
        <w:t xml:space="preserve">Venture Capital Investment Model Agreements</w:t>
      </w:r>
      <w:r>
        <w:rPr>
          <w:rFonts w:ascii="Calibri" w:cs="Calibri" w:eastAsia="Calibri" w:hAnsi="Calibri"/>
          <w:sz w:val="21"/>
          <w:szCs w:val="21"/>
        </w:rPr>
        <w:t xml:space="preserve"> are published free by the Singapore Academy of Law and the Singapore Venture Capital and Private Equity Association. They cover the term sheet, subscription agreement, shareholders’ agreement, convertible agreement regarding equity, convertible note, model constitution, non-disclosure agreement and an ESG side letter — all under Singapore law, with drafting notes.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Investors and their counsel recognise them, which shortens negotiation materially. Starting from a bespoke draft usually costs time rather than saving it.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documents in this library explain what the terms mean and where the negotiation actually sits. </w:t>
      </w:r>
      <w:r>
        <w:rPr>
          <w:rFonts w:ascii="Calibri" w:cs="Calibri" w:eastAsia="Calibri" w:hAnsi="Calibri"/>
          <w:b/>
          <w:bCs/>
          <w:sz w:val="21"/>
          <w:szCs w:val="21"/>
        </w:rPr>
        <w:t xml:space="preserve">Use them together</w:t>
      </w:r>
      <w:r>
        <w:rPr>
          <w:rFonts w:ascii="Calibri" w:cs="Calibri" w:eastAsia="Calibri" w:hAnsi="Calibri"/>
          <w:sz w:val="21"/>
          <w:szCs w:val="21"/>
        </w:rPr>
        <w:t xml:space="preserve">: VIMA for the wording, these for the judgement.</w:t>
      </w:r>
    </w:p>
    <w:p>
      <w:pPr>
        <w:keepNext/>
        <w:spacing w:after="120" w:before="280"/>
        <w:outlineLvl w:val="0"/>
      </w:pPr>
      <w:r>
        <w:rPr>
          <w:rFonts w:ascii="Calibri" w:cs="Calibri" w:eastAsia="Calibri" w:hAnsi="Calibri"/>
          <w:b/>
          <w:bCs/>
          <w:color w:val="14161B"/>
          <w:sz w:val="22"/>
          <w:szCs w:val="22"/>
        </w:rPr>
        <w:t xml:space="preserve">2. CHOOSING THE INSTRUMENT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156"/>
        <w:gridCol w:w="5206"/>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If yes</w:t>
            </w:r>
          </w:p>
        </w:tc>
        <w:tc>
          <w:tcPr>
            <w:tcW w:type="dxa" w:w="52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Instrument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 you and the investor agree a valuation now?</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Priced round</w:t>
            </w:r>
            <w:r>
              <w:rPr>
                <w:rFonts w:ascii="Calibri" w:cs="Calibri" w:eastAsia="Calibri" w:hAnsi="Calibri"/>
                <w:sz w:val="17"/>
                <w:szCs w:val="17"/>
              </w:rPr>
              <w:t xml:space="preserve"> — subscription agreement, shareholders’ agreement, amended constitution</w:t>
            </w:r>
          </w:p>
        </w:tc>
      </w:tr>
      <w:tr>
        <w:tc>
          <w:tcPr>
            <w:tcW w:type="dxa" w:w="3276"/>
            <w:tcMar>
              <w:top w:type="dxa" w:w="70"/>
              <w:left w:type="dxa" w:w="100"/>
              <w:bottom w:type="dxa" w:w="70"/>
              <w:right w:type="dxa" w:w="100"/>
            </w:tcMar>
            <w:vAlign w:val="center"/>
          </w:tcPr>
          <w:p>
            <w:pPr>
              <w:spacing w:after="0" w:line="240"/>
              <w:jc w:val="left"/>
            </w:pP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 — defer the valuation to the next round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you want to avoid creating debt on the balance sheet?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CARE</w:t>
            </w:r>
            <w:r>
              <w:rPr>
                <w:rFonts w:ascii="Calibri" w:cs="Calibri" w:eastAsia="Calibri" w:hAnsi="Calibri"/>
                <w:sz w:val="17"/>
                <w:szCs w:val="17"/>
              </w:rPr>
              <w:t xml:space="preserve"> — no interest, no maturity, no repayment obligation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investor want downside protection and a repayment right?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Convertible note</w:t>
            </w:r>
            <w:r>
              <w:rPr>
                <w:rFonts w:ascii="Calibri" w:cs="Calibri" w:eastAsia="Calibri" w:hAnsi="Calibri"/>
                <w:sz w:val="17"/>
                <w:szCs w:val="17"/>
              </w:rPr>
              <w:t xml:space="preserve"> — but understand the maturity risk</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round small, fast and from angels?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CARE — lowest cost and fastest to close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lead investor taking a board seat?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Priced round — governance needs the full document set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this a bridge to a round already in progress?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CARE or note, with a cap referenced to the expected round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company pre-revenue with no comparable pricing?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 — pricing it now guesses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most common error is pricing a round too early because it feels more definitive. A valuation set without evidence becomes a ceiling at the next round if it was too high, and permanent dilution if it was too low.</w:t>
      </w:r>
    </w:p>
    <w:p>
      <w:pPr>
        <w:keepNext/>
        <w:spacing w:after="120" w:before="280"/>
        <w:outlineLvl w:val="0"/>
      </w:pPr>
      <w:r>
        <w:rPr>
          <w:rFonts w:ascii="Calibri" w:cs="Calibri" w:eastAsia="Calibri" w:hAnsi="Calibri"/>
          <w:b/>
          <w:bCs/>
          <w:color w:val="14161B"/>
          <w:sz w:val="22"/>
          <w:szCs w:val="22"/>
        </w:rPr>
        <w:t xml:space="preserve">3. DOCUMENTS BY ROUTE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4240"/>
        <w:gridCol w:w="3471"/>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Route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Documents required</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 this library</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Before any raise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 agreement; founder vesting; IP assignments; incorporation and registers in order</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`founders-agreement`, `founder-vesting-agreement`, `incorporation-checklist`, `statutory-registers`</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CARE or convertible note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instrument; board resolution; cap table updated with the as-converted line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`convertible-instruments-care-and-notes`, `directors-resolution-in-writing`, `cap-table`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Priced round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Term sheet; due diligence; disclosure letter; subscription agreement; shareholders’ agreement; </w:t>
            </w:r>
            <w:r>
              <w:rPr>
                <w:rFonts w:ascii="Calibri" w:cs="Calibri" w:eastAsia="Calibri" w:hAnsi="Calibri"/>
                <w:b/>
                <w:bCs/>
                <w:sz w:val="16"/>
                <w:szCs w:val="16"/>
              </w:rPr>
              <w:t xml:space="preserve">amended constitution</w:t>
            </w:r>
            <w:r>
              <w:rPr>
                <w:rFonts w:ascii="Calibri" w:cs="Calibri" w:eastAsia="Calibri" w:hAnsi="Calibri"/>
                <w:sz w:val="16"/>
                <w:szCs w:val="16"/>
              </w:rPr>
              <w:t xml:space="preserve">; board and members’ resolutions; share allotment and filing; ESG side letter where required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`series-a-term-sheet`, `due-diligence-checklist`, `share-subscription-agreement`, `shareholders-agreement`, `company-constitution`, `share-allotment`, `esg-side-letter`</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Secondary sale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 purchase agreement; instrument of transfer; </w:t>
            </w:r>
            <w:r>
              <w:rPr>
                <w:rFonts w:ascii="Calibri" w:cs="Calibri" w:eastAsia="Calibri" w:hAnsi="Calibri"/>
                <w:b/>
                <w:bCs/>
                <w:sz w:val="16"/>
                <w:szCs w:val="16"/>
              </w:rPr>
              <w:t xml:space="preserve">stamping</w:t>
            </w:r>
            <w:r>
              <w:rPr>
                <w:rFonts w:ascii="Calibri" w:cs="Calibri" w:eastAsia="Calibri" w:hAnsi="Calibri"/>
                <w:sz w:val="16"/>
                <w:szCs w:val="16"/>
              </w:rPr>
              <w:t xml:space="preserve">; board approval; pre-emption waivers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`share-purchase-agreement`</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Employee equity alongside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Scheme rules; pool resolution; grant letters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`employee-share-option-scheme`, `option-pool-resolution`, `option-grant-letter`</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ORDER OF EVENTS — PRICED ROUND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204"/>
        <w:gridCol w:w="2313"/>
        <w:gridCol w:w="1736"/>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2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Typical timing</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Get the house in order — registers, IP assignments, founder documents, cap table reconciled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approaching anyone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Model the round, including the pool treatment and convertible conversion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term sheet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Term sheet negotiated and signed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Weeks 1–3</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Exclusivity period begins — binding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signing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Due diligence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Weeks 3–7</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Disclosure letter prepared against the warranties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Weeks 5–8</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Long-form documents negotiated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Weeks 5–9</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Constitution amended by special resolution</w:t>
            </w:r>
            <w:r>
              <w:rPr>
                <w:rFonts w:ascii="Calibri" w:cs="Calibri" w:eastAsia="Calibri" w:hAnsi="Calibri"/>
                <w:sz w:val="17"/>
                <w:szCs w:val="17"/>
              </w:rPr>
              <w:t xml:space="preserve"> — 21 days notice, or written resolution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Pre-emption on new issues waived or exhausted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and members’ resolutions passed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Funds received; shares allotted; register updated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allotment filed</w:t>
            </w:r>
            <w:r>
              <w:rPr>
                <w:rFonts w:ascii="Calibri" w:cs="Calibri" w:eastAsia="Calibri" w:hAnsi="Calibri"/>
                <w:sz w:val="17"/>
                <w:szCs w:val="17"/>
              </w:rPr>
              <w:t xml:space="preserve"> within 14 days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 + 14</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certificates issued; investor director appointed and filed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Controllers register reviewed and central filing made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 table reconciled to the Registrar’s register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Conditions and covenants diarised — reporting, consents, board meetings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Post-completion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WHAT SINGAPORE DOES NOT HAVE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Founders and investors arriving from other jurisdictions frequently expect machinery that does not exist here. Do not import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applicable in Singapore</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that means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Exchange control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pricing guidelines, no filings on foreign investment, no restrictions on returns to non-residents. Foreign investors can subscribe freely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Valuation rules for tax on share issues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prescribed valuation methodology governing the price at which shares may be issued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Stamp duty on subscription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Issuing new shares attracts no duty. </w:t>
            </w:r>
            <w:r>
              <w:rPr>
                <w:rFonts w:ascii="Calibri" w:cs="Calibri" w:eastAsia="Calibri" w:hAnsi="Calibri"/>
                <w:b/>
                <w:bCs/>
                <w:sz w:val="17"/>
                <w:szCs w:val="17"/>
              </w:rPr>
              <w:t xml:space="preserve">Transfers of existing shares do</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Capital gains tax, generally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Gains are generally not taxed — but where shares are dealt with as a trade, the gain may be income. Take advice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Statutory compensation for terminated distributors or agents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Relevant if the business has a distribution network in the region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dishonoured-cheque criminal regime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 recovery is civil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 value on shares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Abolished — no nominal value, no share premium account</w:t>
            </w:r>
          </w:p>
        </w:tc>
      </w:tr>
    </w:tbl>
    <w:p>
      <w:pPr>
        <w:spacing w:after="140"/>
      </w:pPr>
    </w:p>
    <w:p>
      <w:pPr>
        <w:keepNext/>
        <w:spacing w:after="120" w:before="280"/>
        <w:outlineLvl w:val="0"/>
      </w:pPr>
      <w:r>
        <w:rPr>
          <w:rFonts w:ascii="Calibri" w:cs="Calibri" w:eastAsia="Calibri" w:hAnsi="Calibri"/>
          <w:b/>
          <w:bCs/>
          <w:color w:val="14161B"/>
          <w:sz w:val="22"/>
          <w:szCs w:val="22"/>
        </w:rPr>
        <w:t xml:space="preserve">6. WHAT SINGAPORE DOES HAVE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 in a raise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Registrar’s register of members governs title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a private company it is prima facie evidence of legal title — an allotment not filed leaves the investor off the register that matters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allotment within 14 days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deadline most often missed in a fast close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Registrable controllers register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new investor crossing the threshold triggers register entry and central filing</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Stamp duty on share transfers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Payable within the prescribed period; unstamped instruments are inadmissible in evidence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Constitution must create the preference rights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Issuing preference shares the constitution does not recognise is a defect that surfaces at the next round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50-member limit for private companies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Excluding employees and former employees who acquired shares while employed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One director ordinarily resident in Singapore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Continuous requirement — check before any board change at completion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Deemed exercise rule on equity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foreign employees and founders leaving Singapore with unexercised options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Readiness Assessment</w:t>
      </w:r>
    </w:p>
    <w:p>
      <w:pPr>
        <w:spacing w:after="140" w:before="0" w:line="276"/>
        <w:jc w:val="both"/>
      </w:pPr>
      <w:r>
        <w:rPr>
          <w:rFonts w:ascii="Calibri" w:cs="Calibri" w:eastAsia="Calibri" w:hAnsi="Calibri"/>
          <w:i/>
          <w:iCs/>
          <w:sz w:val="21"/>
          <w:szCs w:val="21"/>
        </w:rPr>
        <w:t xml:space="preserve">Work through this before approaching investors. Every item is something diligence will ask for, and every one is cheaper to fix now.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397"/>
        <w:gridCol w:w="1349"/>
        <w:gridCol w:w="2507"/>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Status</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Fix</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IP assigned to the company</w:t>
            </w:r>
            <w:r>
              <w:rPr>
                <w:rFonts w:ascii="Calibri" w:cs="Calibri" w:eastAsia="Calibri" w:hAnsi="Calibri"/>
                <w:sz w:val="16"/>
                <w:szCs w:val="16"/>
              </w:rPr>
              <w:t xml:space="preserve">, including pre-incorporation work</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[Execute assignments]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Contractor IP assigned</w:t>
            </w:r>
            <w:r>
              <w:rPr>
                <w:rFonts w:ascii="Calibri" w:cs="Calibri" w:eastAsia="Calibri" w:hAnsi="Calibri"/>
                <w:sz w:val="16"/>
                <w:szCs w:val="16"/>
              </w:rPr>
              <w:t xml:space="preserve"> — every contractor who touched the product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[Execute or re-paper]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 agreement signed and vesting in place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 it before the term sheet]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 table fully diluted and reconciled to the Registrar’s register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[Reconcile]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All allotments filed; all transfers stamped and lodged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[File and stamp]</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Registrable controllers register set up and verified annually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[Set up; send notices]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Statutory registers and minute book complete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[Reconstruct]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Annual returns and accounts filed for all years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[File]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Key employment terms issued to every employee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[Issue]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Itemised payslips issued every period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[Fix payroll]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CPF correct — including none for pass holders, SDL for everyone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[Correct and pay arrears]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passes current and matching actual roles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[Review]</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 scheme documented; option register current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[Document]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Undocumented equity promises identified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[Document or resolve]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loans documented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[Paper them]</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Convertibles outstanding modelled for aggregate dilution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[Model]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Trade marks and domains held by the company, not individuals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[Transfer]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Open source inventory reviewed for copyleft obligations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[Review]</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19</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Protection Officer appointed and contact published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[Appoint]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Material customer contracts reviewed for change of control clauses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[Review]</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Use VIMA for the wording and this library for the judgement</w:t>
      </w:r>
    </w:p>
    <w:p>
      <w:pPr>
        <w:spacing w:after="60" w:line="264"/>
        <w:jc w:val="both"/>
      </w:pPr>
      <w:r>
        <w:rPr>
          <w:rFonts w:ascii="Calibri" w:cs="Calibri" w:eastAsia="Calibri" w:hAnsi="Calibri"/>
          <w:sz w:val="19"/>
          <w:szCs w:val="19"/>
        </w:rPr>
        <w:t xml:space="preserve">The Venture Capital Investment Model Agreements give you recognised Singapore-law drafting free. What they cannot give you is a view on where the negotiation actually sits, which terms matter most at your stage, and what to concede. Use both.</w:t>
      </w:r>
    </w:p>
    <w:p>
      <w:pPr>
        <w:keepNext/>
        <w:spacing w:after="40" w:before="140"/>
      </w:pPr>
      <w:r>
        <w:rPr>
          <w:rFonts w:ascii="Calibri" w:cs="Calibri" w:eastAsia="Calibri" w:hAnsi="Calibri"/>
          <w:b/>
          <w:bCs/>
          <w:color w:val="14161B"/>
          <w:sz w:val="20"/>
          <w:szCs w:val="20"/>
        </w:rPr>
        <w:t xml:space="preserve">Get the house in order before the term sheet</w:t>
      </w:r>
    </w:p>
    <w:p>
      <w:pPr>
        <w:spacing w:after="60" w:line="264"/>
        <w:jc w:val="both"/>
      </w:pPr>
      <w:r>
        <w:rPr>
          <w:rFonts w:ascii="Calibri" w:cs="Calibri" w:eastAsia="Calibri" w:hAnsi="Calibri"/>
          <w:sz w:val="19"/>
          <w:szCs w:val="19"/>
        </w:rPr>
        <w:t xml:space="preserve">Every item in the readiness annexure is something diligence will ask for. Fixing an unassigned IP position or missing key employment terms during exclusivity, with an investor watching, is far more expensive and far more damaging to confidence than fixing it three months earlier.</w:t>
      </w:r>
    </w:p>
    <w:p>
      <w:pPr>
        <w:keepNext/>
        <w:spacing w:after="40" w:before="140"/>
      </w:pPr>
      <w:r>
        <w:rPr>
          <w:rFonts w:ascii="Calibri" w:cs="Calibri" w:eastAsia="Calibri" w:hAnsi="Calibri"/>
          <w:b/>
          <w:bCs/>
          <w:color w:val="14161B"/>
          <w:sz w:val="20"/>
          <w:szCs w:val="20"/>
        </w:rPr>
        <w:t xml:space="preserve">Do not price a round too early</w:t>
      </w:r>
    </w:p>
    <w:p>
      <w:pPr>
        <w:spacing w:after="60" w:line="264"/>
        <w:jc w:val="both"/>
      </w:pPr>
      <w:r>
        <w:rPr>
          <w:rFonts w:ascii="Calibri" w:cs="Calibri" w:eastAsia="Calibri" w:hAnsi="Calibri"/>
          <w:sz w:val="19"/>
          <w:szCs w:val="19"/>
        </w:rPr>
        <w:t xml:space="preserve">A valuation agreed without evidence becomes a ceiling if it was too high and permanent dilution if it was too low. Where there is no basis to price, a convertible defers the question to a point when there is. Pricing early feels more definitive and frequently costs more.</w:t>
      </w:r>
    </w:p>
    <w:p>
      <w:pPr>
        <w:keepNext/>
        <w:spacing w:after="40" w:before="140"/>
      </w:pPr>
      <w:r>
        <w:rPr>
          <w:rFonts w:ascii="Calibri" w:cs="Calibri" w:eastAsia="Calibri" w:hAnsi="Calibri"/>
          <w:b/>
          <w:bCs/>
          <w:color w:val="14161B"/>
          <w:sz w:val="20"/>
          <w:szCs w:val="20"/>
        </w:rPr>
        <w:t xml:space="preserve">Understand the maturity risk on a note</w:t>
      </w:r>
    </w:p>
    <w:p>
      <w:pPr>
        <w:spacing w:after="60" w:line="264"/>
        <w:jc w:val="both"/>
      </w:pPr>
      <w:r>
        <w:rPr>
          <w:rFonts w:ascii="Calibri" w:cs="Calibri" w:eastAsia="Calibri" w:hAnsi="Calibri"/>
          <w:sz w:val="19"/>
          <w:szCs w:val="19"/>
        </w:rPr>
        <w:t xml:space="preserve">A convertible note becomes repayable at maturity if no qualifying round has closed — typically when the company has least cash. It gets renegotiated in practice, but from a weak position. A CARE has no maturity and no repayment obligation, which is the main reason to prefer it.</w:t>
      </w:r>
    </w:p>
    <w:p>
      <w:pPr>
        <w:keepNext/>
        <w:spacing w:after="40" w:before="140"/>
      </w:pPr>
      <w:r>
        <w:rPr>
          <w:rFonts w:ascii="Calibri" w:cs="Calibri" w:eastAsia="Calibri" w:hAnsi="Calibri"/>
          <w:b/>
          <w:bCs/>
          <w:color w:val="14161B"/>
          <w:sz w:val="20"/>
          <w:szCs w:val="20"/>
        </w:rPr>
        <w:t xml:space="preserve">Model the pool treatment before agreeing a valuation</w:t>
      </w:r>
    </w:p>
    <w:p>
      <w:pPr>
        <w:spacing w:after="60" w:line="264"/>
        <w:jc w:val="both"/>
      </w:pPr>
      <w:r>
        <w:rPr>
          <w:rFonts w:ascii="Calibri" w:cs="Calibri" w:eastAsia="Calibri" w:hAnsi="Calibri"/>
          <w:sz w:val="19"/>
          <w:szCs w:val="19"/>
        </w:rPr>
        <w:t xml:space="preserve">An option pool created inside the pre-money dilutes founders only; the investor’s percentage is unaffected whatever its size. Negotiating a smaller pool, or a post-money allocation, is frequently worth more than an equivalent argument about the headline valuation.</w:t>
      </w:r>
    </w:p>
    <w:p>
      <w:pPr>
        <w:keepNext/>
        <w:spacing w:after="40" w:before="140"/>
      </w:pPr>
      <w:r>
        <w:rPr>
          <w:rFonts w:ascii="Calibri" w:cs="Calibri" w:eastAsia="Calibri" w:hAnsi="Calibri"/>
          <w:b/>
          <w:bCs/>
          <w:color w:val="14161B"/>
          <w:sz w:val="20"/>
          <w:szCs w:val="20"/>
        </w:rPr>
        <w:t xml:space="preserve">Model the aggregate convertible conversion</w:t>
      </w:r>
    </w:p>
    <w:p>
      <w:pPr>
        <w:spacing w:after="60" w:line="264"/>
        <w:jc w:val="both"/>
      </w:pPr>
      <w:r>
        <w:rPr>
          <w:rFonts w:ascii="Calibri" w:cs="Calibri" w:eastAsia="Calibri" w:hAnsi="Calibri"/>
          <w:sz w:val="19"/>
          <w:szCs w:val="19"/>
        </w:rPr>
        <w:t xml:space="preserve">Several instruments issued over eighteen months at different caps convert together in the priced round. The combined dilution is regularly far larger than founders expect from any individual instrument. Model it before agreeing the round terms.</w:t>
      </w:r>
    </w:p>
    <w:p>
      <w:pPr>
        <w:keepNext/>
        <w:spacing w:after="40" w:before="140"/>
      </w:pPr>
      <w:r>
        <w:rPr>
          <w:rFonts w:ascii="Calibri" w:cs="Calibri" w:eastAsia="Calibri" w:hAnsi="Calibri"/>
          <w:b/>
          <w:bCs/>
          <w:color w:val="14161B"/>
          <w:sz w:val="20"/>
          <w:szCs w:val="20"/>
        </w:rPr>
        <w:t xml:space="preserve">Amend the constitution before the shares are issued</w:t>
      </w:r>
    </w:p>
    <w:p>
      <w:pPr>
        <w:spacing w:after="60" w:line="264"/>
        <w:jc w:val="both"/>
      </w:pPr>
      <w:r>
        <w:rPr>
          <w:rFonts w:ascii="Calibri" w:cs="Calibri" w:eastAsia="Calibri" w:hAnsi="Calibri"/>
          <w:sz w:val="19"/>
          <w:szCs w:val="19"/>
        </w:rPr>
        <w:t xml:space="preserve">Preference rights must exist in the constitution before preference shares are allotted. Issuing a class the constitution does not recognise is a defect that surfaces at the next round and is awkward to unwind. It needs a special resolution, so build the notice period into the timetable.</w:t>
      </w:r>
    </w:p>
    <w:p>
      <w:pPr>
        <w:keepNext/>
        <w:spacing w:after="40" w:before="140"/>
      </w:pPr>
      <w:r>
        <w:rPr>
          <w:rFonts w:ascii="Calibri" w:cs="Calibri" w:eastAsia="Calibri" w:hAnsi="Calibri"/>
          <w:b/>
          <w:bCs/>
          <w:color w:val="14161B"/>
          <w:sz w:val="20"/>
          <w:szCs w:val="20"/>
        </w:rPr>
        <w:t xml:space="preserve">File the return of allotment within fourteen days</w:t>
      </w:r>
    </w:p>
    <w:p>
      <w:pPr>
        <w:spacing w:after="60" w:line="264"/>
        <w:jc w:val="both"/>
      </w:pPr>
      <w:r>
        <w:rPr>
          <w:rFonts w:ascii="Calibri" w:cs="Calibri" w:eastAsia="Calibri" w:hAnsi="Calibri"/>
          <w:sz w:val="19"/>
          <w:szCs w:val="19"/>
        </w:rPr>
        <w:t xml:space="preserve">For a private company the Registrar’s register of members is prima facie evidence of title. An allotment resolved and paid for but never filed leaves the investor off the operative register. It is the deadline most often missed in a fast close.</w:t>
      </w:r>
    </w:p>
    <w:p>
      <w:pPr>
        <w:keepNext/>
        <w:spacing w:after="40" w:before="140"/>
      </w:pPr>
      <w:r>
        <w:rPr>
          <w:rFonts w:ascii="Calibri" w:cs="Calibri" w:eastAsia="Calibri" w:hAnsi="Calibri"/>
          <w:b/>
          <w:bCs/>
          <w:color w:val="14161B"/>
          <w:sz w:val="20"/>
          <w:szCs w:val="20"/>
        </w:rPr>
        <w:t xml:space="preserve">Review the controllers register at completion</w:t>
      </w:r>
    </w:p>
    <w:p>
      <w:pPr>
        <w:spacing w:after="60" w:line="264"/>
        <w:jc w:val="both"/>
      </w:pPr>
      <w:r>
        <w:rPr>
          <w:rFonts w:ascii="Calibri" w:cs="Calibri" w:eastAsia="Calibri" w:hAnsi="Calibri"/>
          <w:sz w:val="19"/>
          <w:szCs w:val="19"/>
        </w:rPr>
        <w:t xml:space="preserve">An investor crossing the significant-interest threshold becomes a registrable controller, with an entry and a central filing obligation. It is a completion step, not a follow-up item.</w:t>
      </w:r>
    </w:p>
    <w:p>
      <w:pPr>
        <w:keepNext/>
        <w:spacing w:after="40" w:before="140"/>
      </w:pPr>
      <w:r>
        <w:rPr>
          <w:rFonts w:ascii="Calibri" w:cs="Calibri" w:eastAsia="Calibri" w:hAnsi="Calibri"/>
          <w:b/>
          <w:bCs/>
          <w:color w:val="14161B"/>
          <w:sz w:val="20"/>
          <w:szCs w:val="20"/>
        </w:rPr>
        <w:t xml:space="preserve">Stamp secondary transfers</w:t>
      </w:r>
    </w:p>
    <w:p>
      <w:pPr>
        <w:spacing w:after="60" w:line="264"/>
        <w:jc w:val="both"/>
      </w:pPr>
      <w:r>
        <w:rPr>
          <w:rFonts w:ascii="Calibri" w:cs="Calibri" w:eastAsia="Calibri" w:hAnsi="Calibri"/>
          <w:sz w:val="19"/>
          <w:szCs w:val="19"/>
        </w:rPr>
        <w:t xml:space="preserve">A subscription attracts no stamp duty; a transfer of existing shares does, payable within the prescribed period, and an unstamped instrument is inadmissible in evidence. Founders arranging a small secondary alongside a round routinely forget this.</w:t>
      </w:r>
    </w:p>
    <w:p>
      <w:pPr>
        <w:keepNext/>
        <w:spacing w:after="40" w:before="140"/>
      </w:pPr>
      <w:r>
        <w:rPr>
          <w:rFonts w:ascii="Calibri" w:cs="Calibri" w:eastAsia="Calibri" w:hAnsi="Calibri"/>
          <w:b/>
          <w:bCs/>
          <w:color w:val="14161B"/>
          <w:sz w:val="20"/>
          <w:szCs w:val="20"/>
        </w:rPr>
        <w:t xml:space="preserve">Do not import machinery Singapore does not have</w:t>
      </w:r>
    </w:p>
    <w:p>
      <w:pPr>
        <w:spacing w:after="60" w:line="264"/>
        <w:jc w:val="both"/>
      </w:pPr>
      <w:r>
        <w:rPr>
          <w:rFonts w:ascii="Calibri" w:cs="Calibri" w:eastAsia="Calibri" w:hAnsi="Calibri"/>
          <w:sz w:val="19"/>
          <w:szCs w:val="19"/>
        </w:rPr>
        <w:t xml:space="preserve">No exchange control, no prescribed pricing methodology, no par value, no stamp duty on subscription. Term sheets and long-form documents ported from jurisdictions with those regimes carry clauses that do nothing except confuse counsel and slow the deal.</w:t>
      </w:r>
    </w:p>
    <w:p>
      <w:pPr>
        <w:keepNext/>
        <w:spacing w:after="40" w:before="140"/>
      </w:pPr>
      <w:r>
        <w:rPr>
          <w:rFonts w:ascii="Calibri" w:cs="Calibri" w:eastAsia="Calibri" w:hAnsi="Calibri"/>
          <w:b/>
          <w:bCs/>
          <w:color w:val="14161B"/>
          <w:sz w:val="20"/>
          <w:szCs w:val="20"/>
        </w:rPr>
        <w:t xml:space="preserve">Exclusivity is binding — keep it short</w:t>
      </w:r>
    </w:p>
    <w:p>
      <w:pPr>
        <w:spacing w:after="60" w:line="264"/>
        <w:jc w:val="both"/>
      </w:pPr>
      <w:r>
        <w:rPr>
          <w:rFonts w:ascii="Calibri" w:cs="Calibri" w:eastAsia="Calibri" w:hAnsi="Calibri"/>
          <w:sz w:val="19"/>
          <w:szCs w:val="19"/>
        </w:rPr>
        <w:t xml:space="preserve">The exclusivity, confidentiality and cost provisions in a term sheet bind even though the rest does not. A long exclusivity period during which you cannot speak to anyone else is a real concession. Keep it to what diligence genuinely requires and make it fall away if the investor changes terms.</w:t>
      </w:r>
    </w:p>
    <w:p>
      <w:pPr>
        <w:keepNext/>
        <w:spacing w:after="40" w:before="140"/>
      </w:pPr>
      <w:r>
        <w:rPr>
          <w:rFonts w:ascii="Calibri" w:cs="Calibri" w:eastAsia="Calibri" w:hAnsi="Calibri"/>
          <w:b/>
          <w:bCs/>
          <w:color w:val="14161B"/>
          <w:sz w:val="20"/>
          <w:szCs w:val="20"/>
        </w:rPr>
        <w:t xml:space="preserve">Cap the investor cost undertaking</w:t>
      </w:r>
    </w:p>
    <w:p>
      <w:pPr>
        <w:spacing w:after="60" w:line="264"/>
        <w:jc w:val="both"/>
      </w:pPr>
      <w:r>
        <w:rPr>
          <w:rFonts w:ascii="Calibri" w:cs="Calibri" w:eastAsia="Calibri" w:hAnsi="Calibri"/>
          <w:sz w:val="19"/>
          <w:szCs w:val="19"/>
        </w:rPr>
        <w:t xml:space="preserve">Paying the investor’s legal costs is normal; an uncapped undertaking payable regardless of outcome means a collapsed round still costs real money. Cap it, and make it payable on completion only.</w:t>
      </w:r>
    </w:p>
    <w:p>
      <w:pPr>
        <w:keepNext/>
        <w:spacing w:after="40" w:before="140"/>
      </w:pPr>
      <w:r>
        <w:rPr>
          <w:rFonts w:ascii="Calibri" w:cs="Calibri" w:eastAsia="Calibri" w:hAnsi="Calibri"/>
          <w:b/>
          <w:bCs/>
          <w:color w:val="14161B"/>
          <w:sz w:val="20"/>
          <w:szCs w:val="20"/>
        </w:rPr>
        <w:t xml:space="preserve">Diarise what you agreed</w:t>
      </w:r>
    </w:p>
    <w:p>
      <w:pPr>
        <w:spacing w:after="60" w:line="264"/>
        <w:jc w:val="both"/>
      </w:pPr>
      <w:r>
        <w:rPr>
          <w:rFonts w:ascii="Calibri" w:cs="Calibri" w:eastAsia="Calibri" w:hAnsi="Calibri"/>
          <w:sz w:val="19"/>
          <w:szCs w:val="19"/>
        </w:rPr>
        <w:t xml:space="preserve">Reporting obligations, reserved matters, board meeting frequency and covenant tests all begin at completion. Companies that close a round and then breach the information undertakings within two quarters start the investor relationship badly for no reason.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VIMA is periodically updated, market terms move, and requirements under the Companies Act 1967 on allotments, registers, controllers and stamp duty change — take legal and tax advice on any financing, and use this guide to scope the work rather than replace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2026-08-22T06:55:31.789Z</dcterms:created>
  <dcterms:modified xsi:type="dcterms:W3CDTF">2026-08-22T06:55:31.789Z</dcterms:modified>
</cp:coreProperties>
</file>

<file path=docProps/custom.xml><?xml version="1.0" encoding="utf-8"?>
<Properties xmlns="http://schemas.openxmlformats.org/officeDocument/2006/custom-properties" xmlns:vt="http://schemas.openxmlformats.org/officeDocument/2006/docPropsVTypes"/>
</file>